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BC" w:rsidRPr="004858BC" w:rsidRDefault="004858BC" w:rsidP="004858BC">
      <w:pPr>
        <w:pStyle w:val="aa"/>
        <w:ind w:left="0"/>
        <w:rPr>
          <w:rFonts w:cs="Times New Roman"/>
          <w:b/>
          <w:color w:val="000000"/>
          <w:sz w:val="28"/>
          <w:szCs w:val="28"/>
        </w:rPr>
      </w:pPr>
      <w:r w:rsidRPr="004858BC"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4858BC" w:rsidRPr="004858BC" w:rsidRDefault="004858BC" w:rsidP="004858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 ЕГОРЛЫКСКИЙ РАЙОН</w:t>
      </w:r>
    </w:p>
    <w:p w:rsidR="004858BC" w:rsidRPr="004858BC" w:rsidRDefault="004858BC" w:rsidP="004858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4858BC" w:rsidRDefault="004858BC" w:rsidP="004858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1096"/>
        <w:gridCol w:w="1225"/>
        <w:gridCol w:w="2985"/>
      </w:tblGrid>
      <w:tr w:rsidR="004858BC" w:rsidTr="0010176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58BC" w:rsidTr="00101760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4858BC">
            <w:pPr>
              <w:pStyle w:val="a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30 декабря 2016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4858BC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22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BC" w:rsidRDefault="004858BC" w:rsidP="00101760">
            <w:pPr>
              <w:pStyle w:val="a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973BBA" w:rsidRDefault="00973BBA" w:rsidP="009A1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73BBA" w:rsidTr="009A1CEF">
        <w:tc>
          <w:tcPr>
            <w:tcW w:w="5495" w:type="dxa"/>
          </w:tcPr>
          <w:p w:rsidR="00973BBA" w:rsidRDefault="00973BBA" w:rsidP="009A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Роговского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Егорлыкского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пунктом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Роговского сельского поселения</w:t>
      </w:r>
      <w:r w:rsidR="00595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1CEF" w:rsidRDefault="009A1CEF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4858BC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1 января 2017 года.</w:t>
      </w:r>
    </w:p>
    <w:p w:rsidR="00973BBA" w:rsidRDefault="00F278C2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2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постояннодействующую депутатскую комиссию по бюджету, налогам, собственности и эффективному использованию земель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Роговского сельского поселения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   А.М. Кулагин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0541F5" w:rsidRDefault="000541F5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958AD" w:rsidRDefault="000541F5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595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Собрания депутатов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F278C2" w:rsidRDefault="009A1CEF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Роговского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0541F5" w:rsidP="005958A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  № </w:t>
            </w:r>
            <w:r w:rsidR="00595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Администрации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D63CF" w:rsidRDefault="00CD63CF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Администрацией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</w:p>
    <w:p w:rsidR="002A707E" w:rsidRDefault="002A707E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дорожного фонда Егорлыкского района за счет остатков неиспользованных средств муниципального дорожного фонда</w:t>
      </w:r>
      <w:r w:rsidR="003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решение вопросов дорожной деятельности на территории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иных межбюджетных трансфертов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BC7181" w:rsidRDefault="00BC7181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BC7181" w:rsidRDefault="00BC7181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остатков неиспользованных средств муниципального дорожного фонда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BC7181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Иные межбюджетные трансферты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Администрацией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314E2F" w:rsidRDefault="00BC7181" w:rsidP="00314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8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носят целевой характер и не могут быть использованы на другие цели.</w:t>
      </w:r>
    </w:p>
    <w:p w:rsidR="00FF13A9" w:rsidRDefault="00FF13A9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C5F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случаях:</w:t>
      </w:r>
    </w:p>
    <w:p w:rsidR="00FF13A9" w:rsidRDefault="00FF13A9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</w:t>
      </w:r>
      <w:r w:rsidR="00D1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нецелевого использования.</w:t>
      </w:r>
    </w:p>
    <w:p w:rsidR="00A83DC3" w:rsidRDefault="00A83DC3" w:rsidP="009E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5F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56" w:rsidRDefault="00CC5F56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97" w:rsidRDefault="00D12897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97" w:rsidRDefault="00D12897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97" w:rsidRDefault="00D12897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97" w:rsidRDefault="00D12897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Pr="00973BBA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956B30" w:rsidRDefault="00956B30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DB006A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9E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B776F5" w:rsidTr="00047D7E">
        <w:tc>
          <w:tcPr>
            <w:tcW w:w="3256" w:type="dxa"/>
          </w:tcPr>
          <w:p w:rsidR="00B776F5" w:rsidRDefault="00B776F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B776F5" w:rsidTr="00B776F5">
        <w:tc>
          <w:tcPr>
            <w:tcW w:w="3256" w:type="dxa"/>
          </w:tcPr>
          <w:p w:rsidR="00B776F5" w:rsidRDefault="00B776F5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B776F5" w:rsidRDefault="00B776F5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9295E" w:rsidTr="0039295E">
        <w:tc>
          <w:tcPr>
            <w:tcW w:w="3256" w:type="dxa"/>
          </w:tcPr>
          <w:p w:rsidR="0039295E" w:rsidRPr="002A2EDF" w:rsidRDefault="002A2EDF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9295E" w:rsidRDefault="0039295E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9E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9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C81B10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3645C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C81B10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936F98">
      <w:pPr>
        <w:autoSpaceDE w:val="0"/>
        <w:autoSpaceDN w:val="0"/>
        <w:adjustRightInd w:val="0"/>
        <w:spacing w:after="0" w:line="192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Pr="00147FC5" w:rsidRDefault="00147FC5" w:rsidP="0014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18520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18520C">
        <w:rPr>
          <w:rFonts w:ascii="Times New Roman" w:hAnsi="Times New Roman" w:cs="Times New Roman"/>
          <w:sz w:val="28"/>
          <w:szCs w:val="28"/>
        </w:rPr>
        <w:t xml:space="preserve"> –</w:t>
      </w:r>
      <w:r w:rsidRPr="0018520C">
        <w:rPr>
          <w:rFonts w:ascii="Times New Roman" w:hAnsi="Times New Roman" w:cs="Times New Roman"/>
          <w:spacing w:val="2"/>
          <w:sz w:val="28"/>
          <w:szCs w:val="28"/>
        </w:rPr>
        <w:t xml:space="preserve"> расходы на материальные затраты (без увеличения стоимости основных средств и капитального ремонта)</w:t>
      </w:r>
      <w:r w:rsidR="00936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F98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C81B10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:rsidR="0010766E" w:rsidRDefault="0010766E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10766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E7D" w:rsidRDefault="00AC3E7D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3E7D" w:rsidSect="0085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5"/>
    <w:rsid w:val="000077B7"/>
    <w:rsid w:val="00015A4C"/>
    <w:rsid w:val="000214EC"/>
    <w:rsid w:val="00047D7E"/>
    <w:rsid w:val="000541F5"/>
    <w:rsid w:val="00095DD5"/>
    <w:rsid w:val="0010766E"/>
    <w:rsid w:val="00113129"/>
    <w:rsid w:val="00120618"/>
    <w:rsid w:val="00147FC5"/>
    <w:rsid w:val="001F3C8F"/>
    <w:rsid w:val="00240F59"/>
    <w:rsid w:val="00242518"/>
    <w:rsid w:val="002A2EDF"/>
    <w:rsid w:val="002A707E"/>
    <w:rsid w:val="002E414F"/>
    <w:rsid w:val="00314E2F"/>
    <w:rsid w:val="0033584A"/>
    <w:rsid w:val="003645CA"/>
    <w:rsid w:val="0039295E"/>
    <w:rsid w:val="003A7918"/>
    <w:rsid w:val="003C6204"/>
    <w:rsid w:val="003D5DEF"/>
    <w:rsid w:val="00404A5A"/>
    <w:rsid w:val="00470995"/>
    <w:rsid w:val="004858BC"/>
    <w:rsid w:val="00490DDE"/>
    <w:rsid w:val="00580E0F"/>
    <w:rsid w:val="005958AD"/>
    <w:rsid w:val="00675F00"/>
    <w:rsid w:val="006C3810"/>
    <w:rsid w:val="007A2780"/>
    <w:rsid w:val="0083148B"/>
    <w:rsid w:val="00834C27"/>
    <w:rsid w:val="00854D86"/>
    <w:rsid w:val="00873D1F"/>
    <w:rsid w:val="008E68B0"/>
    <w:rsid w:val="00936F98"/>
    <w:rsid w:val="00951CF8"/>
    <w:rsid w:val="00956B30"/>
    <w:rsid w:val="00973BBA"/>
    <w:rsid w:val="00975480"/>
    <w:rsid w:val="009A1CEF"/>
    <w:rsid w:val="009E5B1C"/>
    <w:rsid w:val="00A443FD"/>
    <w:rsid w:val="00A83DC3"/>
    <w:rsid w:val="00AC3E7D"/>
    <w:rsid w:val="00AE0A2B"/>
    <w:rsid w:val="00B776F5"/>
    <w:rsid w:val="00BB480D"/>
    <w:rsid w:val="00BC7181"/>
    <w:rsid w:val="00BE24CD"/>
    <w:rsid w:val="00C47564"/>
    <w:rsid w:val="00C7228D"/>
    <w:rsid w:val="00C81B10"/>
    <w:rsid w:val="00CC41A8"/>
    <w:rsid w:val="00CC5F56"/>
    <w:rsid w:val="00CD63CF"/>
    <w:rsid w:val="00D12897"/>
    <w:rsid w:val="00D92F34"/>
    <w:rsid w:val="00DB006A"/>
    <w:rsid w:val="00DC56C9"/>
    <w:rsid w:val="00EF063A"/>
    <w:rsid w:val="00F117BC"/>
    <w:rsid w:val="00F278C2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ECF4-F487-45B1-BED0-99AD7EE3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86"/>
  </w:style>
  <w:style w:type="paragraph" w:styleId="1">
    <w:name w:val="heading 1"/>
    <w:basedOn w:val="a"/>
    <w:next w:val="a"/>
    <w:link w:val="10"/>
    <w:qFormat/>
    <w:rsid w:val="002A2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A2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nhideWhenUsed/>
    <w:rsid w:val="004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58B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4858BC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4858BC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8328C-14D1-4CD7-AC87-86C3D50F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RgSpAdmin</cp:lastModifiedBy>
  <cp:revision>3</cp:revision>
  <cp:lastPrinted>2022-11-18T06:49:00Z</cp:lastPrinted>
  <dcterms:created xsi:type="dcterms:W3CDTF">2022-11-18T06:22:00Z</dcterms:created>
  <dcterms:modified xsi:type="dcterms:W3CDTF">2022-11-18T06:53:00Z</dcterms:modified>
</cp:coreProperties>
</file>