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400514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2023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48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4005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400514">
        <w:rPr>
          <w:rFonts w:ascii="Times New Roman" w:hAnsi="Times New Roman"/>
          <w:b/>
          <w:sz w:val="24"/>
          <w:szCs w:val="24"/>
          <w:lang w:val="en-US"/>
        </w:rPr>
        <w:t>I</w:t>
      </w:r>
      <w:r w:rsidR="00400514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99749A">
        <w:rPr>
          <w:rFonts w:ascii="Times New Roman" w:hAnsi="Times New Roman"/>
          <w:b/>
          <w:sz w:val="24"/>
          <w:szCs w:val="24"/>
        </w:rPr>
        <w:t xml:space="preserve"> </w:t>
      </w:r>
      <w:r w:rsidR="00400514">
        <w:rPr>
          <w:rFonts w:ascii="Times New Roman" w:hAnsi="Times New Roman"/>
          <w:b/>
          <w:sz w:val="24"/>
          <w:szCs w:val="24"/>
        </w:rPr>
        <w:t>2023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99749A">
        <w:rPr>
          <w:b w:val="0"/>
          <w:sz w:val="28"/>
          <w:szCs w:val="28"/>
        </w:rPr>
        <w:t xml:space="preserve">, </w:t>
      </w:r>
      <w:proofErr w:type="spellStart"/>
      <w:r w:rsidR="0099749A">
        <w:rPr>
          <w:b w:val="0"/>
          <w:sz w:val="28"/>
          <w:szCs w:val="28"/>
        </w:rPr>
        <w:t>пп</w:t>
      </w:r>
      <w:proofErr w:type="spellEnd"/>
      <w:r w:rsidR="0099749A">
        <w:rPr>
          <w:b w:val="0"/>
          <w:sz w:val="28"/>
          <w:szCs w:val="28"/>
        </w:rPr>
        <w:t xml:space="preserve"> 11 п 2 ст. 34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642F02">
        <w:rPr>
          <w:rFonts w:ascii="Times New Roman" w:hAnsi="Times New Roman"/>
          <w:sz w:val="28"/>
          <w:szCs w:val="28"/>
          <w:lang w:val="en-US"/>
        </w:rPr>
        <w:t>I</w:t>
      </w:r>
      <w:r w:rsidR="00642F02">
        <w:rPr>
          <w:rFonts w:ascii="Times New Roman" w:hAnsi="Times New Roman"/>
          <w:sz w:val="28"/>
          <w:szCs w:val="28"/>
        </w:rPr>
        <w:t xml:space="preserve"> полугодие 2023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591704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="004936A6">
        <w:rPr>
          <w:rFonts w:ascii="Times New Roman" w:hAnsi="Times New Roman"/>
          <w:sz w:val="28"/>
          <w:szCs w:val="28"/>
        </w:rPr>
        <w:t xml:space="preserve">. </w:t>
      </w:r>
      <w:r w:rsidRPr="002F36A4">
        <w:rPr>
          <w:rFonts w:ascii="Times New Roman" w:hAnsi="Times New Roman"/>
          <w:sz w:val="28"/>
          <w:szCs w:val="28"/>
        </w:rPr>
        <w:t xml:space="preserve">Настоящее </w:t>
      </w:r>
      <w:r w:rsidR="00591704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591704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642F02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A64B2C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642F02">
        <w:rPr>
          <w:rFonts w:ascii="Times New Roman" w:hAnsi="Times New Roman"/>
          <w:sz w:val="28"/>
          <w:szCs w:val="28"/>
        </w:rPr>
        <w:t xml:space="preserve">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C66B54" w:rsidRPr="00D84BD3">
        <w:rPr>
          <w:rFonts w:ascii="Times New Roman" w:eastAsia="Times New Roman" w:hAnsi="Times New Roman" w:cs="Calibri"/>
          <w:sz w:val="24"/>
          <w:szCs w:val="24"/>
        </w:rPr>
        <w:t>от</w:t>
      </w:r>
      <w:r w:rsidR="00642F02">
        <w:rPr>
          <w:rFonts w:ascii="Times New Roman" w:eastAsia="Times New Roman" w:hAnsi="Times New Roman" w:cs="Calibri"/>
          <w:sz w:val="24"/>
          <w:szCs w:val="24"/>
        </w:rPr>
        <w:t xml:space="preserve"> 02.08.2023 </w:t>
      </w:r>
      <w:r w:rsidR="00C66B54">
        <w:rPr>
          <w:rFonts w:ascii="Times New Roman" w:eastAsia="Times New Roman" w:hAnsi="Times New Roman" w:cs="Calibri"/>
          <w:sz w:val="24"/>
          <w:szCs w:val="24"/>
        </w:rPr>
        <w:t>г.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№ </w:t>
      </w:r>
      <w:r w:rsidR="00642F02">
        <w:rPr>
          <w:rFonts w:ascii="Times New Roman" w:eastAsia="Times New Roman" w:hAnsi="Times New Roman" w:cs="Calibri"/>
          <w:sz w:val="24"/>
          <w:szCs w:val="24"/>
        </w:rPr>
        <w:t>48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42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2F02"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42F02">
        <w:rPr>
          <w:rFonts w:ascii="Times New Roman" w:hAnsi="Times New Roman" w:cs="Times New Roman"/>
          <w:sz w:val="24"/>
          <w:szCs w:val="24"/>
        </w:rPr>
        <w:t>23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A64B2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blHeader/>
          <w:tblCellSpacing w:w="5" w:type="nil"/>
        </w:trPr>
        <w:tc>
          <w:tcPr>
            <w:tcW w:w="426" w:type="dxa"/>
          </w:tcPr>
          <w:p w:rsidR="00303637" w:rsidRPr="004936A6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A64B2C">
        <w:trPr>
          <w:trHeight w:val="202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  <w:r w:rsidR="0032492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417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92" w:type="dxa"/>
          </w:tcPr>
          <w:p w:rsidR="002C1A82" w:rsidRPr="00C6616A" w:rsidRDefault="002C1A82" w:rsidP="002C1A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A64B2C">
        <w:trPr>
          <w:trHeight w:val="2701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417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92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  <w:r w:rsidR="00B9753F">
              <w:rPr>
                <w:rFonts w:ascii="Times New Roman" w:hAnsi="Times New Roman" w:cs="Times New Roman"/>
              </w:rPr>
              <w:t xml:space="preserve">1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303637" w:rsidRPr="00C6616A">
              <w:rPr>
                <w:rFonts w:ascii="Times New Roman" w:hAnsi="Times New Roman" w:cs="Times New Roman"/>
              </w:rPr>
              <w:t xml:space="preserve"> рублей. Расходы будущих периодов</w:t>
            </w:r>
          </w:p>
        </w:tc>
      </w:tr>
      <w:tr w:rsidR="00303637" w:rsidRPr="00C6616A" w:rsidTr="00A64B2C">
        <w:trPr>
          <w:trHeight w:val="36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1.1.1 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Совершенствование организации муниципальной службы в   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A64B2C">
        <w:trPr>
          <w:trHeight w:val="20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1173,3</w:t>
            </w:r>
          </w:p>
        </w:tc>
        <w:tc>
          <w:tcPr>
            <w:tcW w:w="1417" w:type="dxa"/>
          </w:tcPr>
          <w:p w:rsidR="00303637" w:rsidRPr="00C6616A" w:rsidRDefault="00642F02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1173,3</w:t>
            </w:r>
          </w:p>
        </w:tc>
        <w:tc>
          <w:tcPr>
            <w:tcW w:w="992" w:type="dxa"/>
          </w:tcPr>
          <w:p w:rsidR="00303637" w:rsidRPr="00C6616A" w:rsidRDefault="00642F0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842" w:type="dxa"/>
          </w:tcPr>
          <w:p w:rsidR="00303637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558,9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42F02" w:rsidRPr="00C6616A" w:rsidTr="00A64B2C">
        <w:trPr>
          <w:tblCellSpacing w:w="5" w:type="nil"/>
        </w:trPr>
        <w:tc>
          <w:tcPr>
            <w:tcW w:w="426" w:type="dxa"/>
          </w:tcPr>
          <w:p w:rsidR="00642F02" w:rsidRPr="004936A6" w:rsidRDefault="004936A6" w:rsidP="00642F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2F02" w:rsidRPr="00642F02" w:rsidRDefault="00642F02" w:rsidP="00642F02">
            <w:pPr>
              <w:jc w:val="center"/>
              <w:rPr>
                <w:rFonts w:ascii="Times New Roman" w:hAnsi="Times New Roman"/>
              </w:rPr>
            </w:pPr>
            <w:r w:rsidRPr="00642F02">
              <w:rPr>
                <w:rFonts w:ascii="Times New Roman" w:hAnsi="Times New Roman"/>
              </w:rPr>
              <w:t>1173,3</w:t>
            </w:r>
          </w:p>
        </w:tc>
        <w:tc>
          <w:tcPr>
            <w:tcW w:w="1417" w:type="dxa"/>
          </w:tcPr>
          <w:p w:rsidR="00642F02" w:rsidRPr="00642F02" w:rsidRDefault="00642F02" w:rsidP="00642F02">
            <w:pPr>
              <w:jc w:val="center"/>
              <w:rPr>
                <w:rFonts w:ascii="Times New Roman" w:hAnsi="Times New Roman"/>
              </w:rPr>
            </w:pPr>
            <w:r w:rsidRPr="00642F02">
              <w:rPr>
                <w:rFonts w:ascii="Times New Roman" w:hAnsi="Times New Roman"/>
              </w:rPr>
              <w:t>1173,3</w:t>
            </w:r>
          </w:p>
        </w:tc>
        <w:tc>
          <w:tcPr>
            <w:tcW w:w="992" w:type="dxa"/>
          </w:tcPr>
          <w:p w:rsidR="00642F02" w:rsidRPr="00642F02" w:rsidRDefault="00642F02" w:rsidP="00642F02">
            <w:pPr>
              <w:jc w:val="center"/>
              <w:rPr>
                <w:rFonts w:ascii="Times New Roman" w:hAnsi="Times New Roman"/>
              </w:rPr>
            </w:pPr>
            <w:r w:rsidRPr="00642F02">
              <w:rPr>
                <w:rFonts w:ascii="Times New Roman" w:hAnsi="Times New Roman"/>
              </w:rPr>
              <w:t>614,4</w:t>
            </w:r>
          </w:p>
        </w:tc>
        <w:tc>
          <w:tcPr>
            <w:tcW w:w="1842" w:type="dxa"/>
          </w:tcPr>
          <w:p w:rsidR="00642F02" w:rsidRPr="00642F02" w:rsidRDefault="00642F02" w:rsidP="00642F02">
            <w:pPr>
              <w:jc w:val="center"/>
              <w:rPr>
                <w:rFonts w:ascii="Times New Roman" w:hAnsi="Times New Roman"/>
              </w:rPr>
            </w:pPr>
            <w:r w:rsidRPr="00642F02">
              <w:rPr>
                <w:rFonts w:ascii="Times New Roman" w:hAnsi="Times New Roman"/>
              </w:rPr>
              <w:t>558,9 тыс. руб.  Расходы будущих периодов</w:t>
            </w:r>
          </w:p>
        </w:tc>
      </w:tr>
      <w:tr w:rsidR="00DC1112" w:rsidRPr="00C6616A" w:rsidTr="00A64B2C">
        <w:trPr>
          <w:tblCellSpacing w:w="5" w:type="nil"/>
        </w:trPr>
        <w:tc>
          <w:tcPr>
            <w:tcW w:w="426" w:type="dxa"/>
          </w:tcPr>
          <w:p w:rsidR="00DC1112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DC1112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2.1</w:t>
            </w:r>
          </w:p>
        </w:tc>
        <w:tc>
          <w:tcPr>
            <w:tcW w:w="2126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DC1112" w:rsidRPr="00C6616A" w:rsidRDefault="001F6B0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642F02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6616,7</w:t>
            </w:r>
          </w:p>
        </w:tc>
        <w:tc>
          <w:tcPr>
            <w:tcW w:w="1417" w:type="dxa"/>
          </w:tcPr>
          <w:p w:rsidR="00891BCC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6616,7</w:t>
            </w:r>
          </w:p>
        </w:tc>
        <w:tc>
          <w:tcPr>
            <w:tcW w:w="992" w:type="dxa"/>
          </w:tcPr>
          <w:p w:rsidR="00891BCC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2851,4</w:t>
            </w:r>
          </w:p>
          <w:p w:rsidR="00403207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1BCC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3765,3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</w:t>
            </w:r>
            <w:r w:rsidR="004936A6">
              <w:rPr>
                <w:rFonts w:ascii="Times New Roman" w:hAnsi="Times New Roman" w:cs="Times New Roman"/>
                <w:kern w:val="2"/>
              </w:rPr>
              <w:t>9</w:t>
            </w:r>
            <w:r w:rsidRPr="00C6616A">
              <w:rPr>
                <w:rFonts w:ascii="Times New Roman" w:hAnsi="Times New Roman" w:cs="Times New Roman"/>
                <w:kern w:val="2"/>
              </w:rPr>
              <w:t>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4720,8</w:t>
            </w:r>
          </w:p>
        </w:tc>
        <w:tc>
          <w:tcPr>
            <w:tcW w:w="1417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4720,8</w:t>
            </w:r>
          </w:p>
        </w:tc>
        <w:tc>
          <w:tcPr>
            <w:tcW w:w="992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2171,1</w:t>
            </w:r>
          </w:p>
        </w:tc>
        <w:tc>
          <w:tcPr>
            <w:tcW w:w="1842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2549,7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1808,3</w:t>
            </w:r>
          </w:p>
        </w:tc>
        <w:tc>
          <w:tcPr>
            <w:tcW w:w="1417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1808,3</w:t>
            </w:r>
          </w:p>
        </w:tc>
        <w:tc>
          <w:tcPr>
            <w:tcW w:w="992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842" w:type="dxa"/>
          </w:tcPr>
          <w:p w:rsidR="00010C25" w:rsidRPr="00C6616A" w:rsidRDefault="00642F0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</w:t>
            </w:r>
            <w:r w:rsidR="00B9753F">
              <w:rPr>
                <w:rFonts w:ascii="Times New Roman" w:hAnsi="Times New Roman" w:cs="Times New Roman"/>
              </w:rPr>
              <w:t xml:space="preserve">6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186340">
              <w:rPr>
                <w:rFonts w:ascii="Times New Roman" w:hAnsi="Times New Roman" w:cs="Times New Roman"/>
              </w:rPr>
              <w:t xml:space="preserve">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6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417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31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31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891BCC" w:rsidRPr="00C6616A" w:rsidRDefault="00A6567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31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31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91BCC" w:rsidRPr="00C6616A" w:rsidRDefault="000311D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42" w:type="dxa"/>
          </w:tcPr>
          <w:p w:rsidR="00891BCC" w:rsidRPr="00C6616A" w:rsidRDefault="000311DB" w:rsidP="00C66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="00C66B54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CF531C" w:rsidRPr="000311DB" w:rsidRDefault="00CF531C" w:rsidP="00B9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3.6.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 w:rsidRPr="00CF531C">
              <w:rPr>
                <w:rFonts w:ascii="Times New Roman" w:hAnsi="Times New Roman" w:cs="Times New Roman"/>
              </w:rPr>
              <w:t xml:space="preserve">похозяйственных </w:t>
            </w:r>
            <w:r>
              <w:rPr>
                <w:rFonts w:ascii="Times New Roman" w:hAnsi="Times New Roman" w:cs="Times New Roman"/>
              </w:rPr>
              <w:t>книг один раз в пять лет.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F53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3.7.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color w:val="000000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Pr="00CF531C">
              <w:rPr>
                <w:rFonts w:ascii="Times New Roman" w:hAnsi="Times New Roman" w:cs="Times New Roman"/>
              </w:rPr>
              <w:t xml:space="preserve">  тыс. руб.  Расходы будущих периодов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CF531C">
              <w:rPr>
                <w:rFonts w:ascii="Times New Roman" w:hAnsi="Times New Roman"/>
              </w:rPr>
              <w:t>Основное мероприятие 3.8.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CF531C" w:rsidRPr="00CF531C" w:rsidRDefault="00CF531C" w:rsidP="00CF531C">
            <w:pPr>
              <w:jc w:val="center"/>
              <w:rPr>
                <w:rFonts w:ascii="Times New Roman" w:hAnsi="Times New Roman"/>
              </w:rPr>
            </w:pPr>
            <w:r w:rsidRPr="00CF531C">
              <w:rPr>
                <w:rFonts w:ascii="Times New Roman" w:hAnsi="Times New Roman"/>
              </w:rPr>
              <w:t>01.01.2023</w:t>
            </w:r>
          </w:p>
        </w:tc>
        <w:tc>
          <w:tcPr>
            <w:tcW w:w="1559" w:type="dxa"/>
          </w:tcPr>
          <w:p w:rsidR="00CF531C" w:rsidRPr="00CF531C" w:rsidRDefault="00CF531C" w:rsidP="00CF531C">
            <w:pPr>
              <w:jc w:val="center"/>
              <w:rPr>
                <w:rFonts w:ascii="Times New Roman" w:hAnsi="Times New Roman"/>
              </w:rPr>
            </w:pPr>
            <w:r w:rsidRPr="00CF531C">
              <w:rPr>
                <w:rFonts w:ascii="Times New Roman" w:hAnsi="Times New Roman"/>
              </w:rPr>
              <w:t>31.12.2023</w:t>
            </w:r>
          </w:p>
        </w:tc>
        <w:tc>
          <w:tcPr>
            <w:tcW w:w="184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F531C">
              <w:rPr>
                <w:rFonts w:ascii="Times New Roman" w:hAnsi="Times New Roman" w:cs="Times New Roman"/>
              </w:rPr>
              <w:t>,0  тыс. руб.  Расходы будущих периодов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</w:t>
            </w:r>
            <w:r w:rsidR="00B9753F">
              <w:rPr>
                <w:rFonts w:ascii="Times New Roman" w:hAnsi="Times New Roman" w:cs="Times New Roman"/>
              </w:rPr>
              <w:t>тие муниципальной</w:t>
            </w:r>
            <w:r w:rsidR="000311DB">
              <w:rPr>
                <w:rFonts w:ascii="Times New Roman" w:hAnsi="Times New Roman" w:cs="Times New Roman"/>
              </w:rPr>
              <w:t xml:space="preserve"> программы 3.1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0311D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</w:t>
            </w:r>
            <w:r w:rsidR="00B9753F" w:rsidRPr="00C6616A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770890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7858,1</w:t>
            </w:r>
          </w:p>
        </w:tc>
        <w:tc>
          <w:tcPr>
            <w:tcW w:w="1417" w:type="dxa"/>
          </w:tcPr>
          <w:p w:rsidR="005212C4" w:rsidRPr="00C6616A" w:rsidRDefault="00770890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7858,1</w:t>
            </w:r>
          </w:p>
        </w:tc>
        <w:tc>
          <w:tcPr>
            <w:tcW w:w="992" w:type="dxa"/>
          </w:tcPr>
          <w:p w:rsidR="005212C4" w:rsidRPr="00C6616A" w:rsidRDefault="00770890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3465,8</w:t>
            </w:r>
          </w:p>
        </w:tc>
        <w:tc>
          <w:tcPr>
            <w:tcW w:w="1842" w:type="dxa"/>
          </w:tcPr>
          <w:p w:rsidR="005212C4" w:rsidRPr="00C6616A" w:rsidRDefault="00770890" w:rsidP="00A64B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4392,3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280DDB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4936A6">
        <w:rPr>
          <w:rFonts w:ascii="Times New Roman" w:hAnsi="Times New Roman"/>
          <w:sz w:val="32"/>
          <w:szCs w:val="32"/>
          <w:lang w:val="en-US"/>
        </w:rPr>
        <w:t>I</w:t>
      </w:r>
      <w:r w:rsidR="004936A6">
        <w:rPr>
          <w:rFonts w:ascii="Times New Roman" w:hAnsi="Times New Roman"/>
          <w:sz w:val="32"/>
          <w:szCs w:val="32"/>
        </w:rPr>
        <w:t xml:space="preserve"> полугоди</w:t>
      </w:r>
      <w:r w:rsidR="00466729">
        <w:rPr>
          <w:rFonts w:ascii="Times New Roman" w:hAnsi="Times New Roman"/>
          <w:sz w:val="32"/>
          <w:szCs w:val="32"/>
        </w:rPr>
        <w:t>я</w:t>
      </w:r>
      <w:r w:rsidR="00186340">
        <w:rPr>
          <w:rFonts w:ascii="Times New Roman" w:hAnsi="Times New Roman"/>
          <w:sz w:val="32"/>
          <w:szCs w:val="32"/>
        </w:rPr>
        <w:t xml:space="preserve"> 202</w:t>
      </w:r>
      <w:r w:rsidR="006976E2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3" w:name="_GoBack"/>
      <w:bookmarkEnd w:id="3"/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A64B2C"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7858,1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4936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3465,8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44,1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53F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81C83">
        <w:rPr>
          <w:rFonts w:ascii="Times New Roman" w:hAnsi="Times New Roman"/>
          <w:sz w:val="28"/>
          <w:szCs w:val="28"/>
        </w:rPr>
        <w:t>3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81C83">
        <w:rPr>
          <w:rFonts w:ascii="Times New Roman" w:hAnsi="Times New Roman"/>
          <w:sz w:val="28"/>
          <w:szCs w:val="28"/>
        </w:rPr>
        <w:t>68,1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1669">
        <w:rPr>
          <w:rFonts w:ascii="Times New Roman" w:hAnsi="Times New Roman"/>
          <w:sz w:val="28"/>
          <w:szCs w:val="28"/>
        </w:rPr>
        <w:t>0,0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D1669">
        <w:rPr>
          <w:rFonts w:ascii="Times New Roman" w:hAnsi="Times New Roman"/>
          <w:sz w:val="28"/>
          <w:szCs w:val="28"/>
        </w:rPr>
        <w:t>0,</w:t>
      </w:r>
      <w:r w:rsidR="00B9753F">
        <w:rPr>
          <w:rFonts w:ascii="Times New Roman" w:hAnsi="Times New Roman"/>
          <w:sz w:val="28"/>
          <w:szCs w:val="28"/>
        </w:rPr>
        <w:t>0 процента</w:t>
      </w:r>
      <w:r w:rsidR="00B80636">
        <w:rPr>
          <w:rFonts w:ascii="Times New Roman" w:hAnsi="Times New Roman"/>
          <w:sz w:val="28"/>
          <w:szCs w:val="28"/>
        </w:rPr>
        <w:t xml:space="preserve">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81C83">
        <w:rPr>
          <w:rFonts w:ascii="Times New Roman" w:hAnsi="Times New Roman"/>
          <w:sz w:val="28"/>
          <w:szCs w:val="28"/>
        </w:rPr>
        <w:t>3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B81C83">
        <w:rPr>
          <w:rFonts w:ascii="Times New Roman" w:hAnsi="Times New Roman"/>
          <w:sz w:val="28"/>
          <w:szCs w:val="28"/>
        </w:rPr>
        <w:t>1173,3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1C83">
        <w:rPr>
          <w:rFonts w:ascii="Times New Roman" w:hAnsi="Times New Roman"/>
          <w:sz w:val="28"/>
          <w:szCs w:val="28"/>
        </w:rPr>
        <w:t>614,4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81C83">
        <w:rPr>
          <w:rFonts w:ascii="Times New Roman" w:hAnsi="Times New Roman"/>
          <w:sz w:val="28"/>
          <w:szCs w:val="28"/>
        </w:rPr>
        <w:t>52,4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81C83">
        <w:rPr>
          <w:rFonts w:ascii="Times New Roman" w:hAnsi="Times New Roman"/>
          <w:sz w:val="28"/>
          <w:szCs w:val="28"/>
        </w:rPr>
        <w:t>3</w:t>
      </w:r>
      <w:r w:rsidR="00B73878">
        <w:rPr>
          <w:rFonts w:ascii="Times New Roman" w:hAnsi="Times New Roman"/>
          <w:sz w:val="28"/>
          <w:szCs w:val="28"/>
        </w:rPr>
        <w:t xml:space="preserve"> год составляет </w:t>
      </w:r>
      <w:r w:rsidR="00B81C83">
        <w:rPr>
          <w:rFonts w:ascii="Times New Roman" w:hAnsi="Times New Roman"/>
          <w:sz w:val="28"/>
          <w:szCs w:val="28"/>
        </w:rPr>
        <w:t>6616,7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1C83">
        <w:rPr>
          <w:rFonts w:ascii="Times New Roman" w:hAnsi="Times New Roman"/>
          <w:sz w:val="28"/>
          <w:szCs w:val="28"/>
        </w:rPr>
        <w:t>2851,4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81C83">
        <w:rPr>
          <w:rFonts w:ascii="Times New Roman" w:hAnsi="Times New Roman"/>
          <w:sz w:val="28"/>
          <w:szCs w:val="28"/>
        </w:rPr>
        <w:t>43,1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B9753F" w:rsidRPr="008747DA">
        <w:rPr>
          <w:rFonts w:ascii="Times New Roman" w:hAnsi="Times New Roman"/>
          <w:sz w:val="28"/>
          <w:szCs w:val="28"/>
        </w:rPr>
        <w:t>утверждении Порядка</w:t>
      </w:r>
      <w:r w:rsidRPr="008747DA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71" w:rsidRDefault="00F80A71" w:rsidP="008A1698">
      <w:pPr>
        <w:spacing w:after="0" w:line="240" w:lineRule="auto"/>
      </w:pPr>
      <w:r>
        <w:separator/>
      </w:r>
    </w:p>
  </w:endnote>
  <w:endnote w:type="continuationSeparator" w:id="0">
    <w:p w:rsidR="00F80A71" w:rsidRDefault="00F80A7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B" w:rsidRPr="00FA58C4" w:rsidRDefault="00280DDB" w:rsidP="00280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71" w:rsidRDefault="00F80A71" w:rsidP="008A1698">
      <w:pPr>
        <w:spacing w:after="0" w:line="240" w:lineRule="auto"/>
      </w:pPr>
      <w:r>
        <w:separator/>
      </w:r>
    </w:p>
  </w:footnote>
  <w:footnote w:type="continuationSeparator" w:id="0">
    <w:p w:rsidR="00F80A71" w:rsidRDefault="00F80A71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7B48"/>
    <w:rsid w:val="00010C25"/>
    <w:rsid w:val="00017313"/>
    <w:rsid w:val="000248F8"/>
    <w:rsid w:val="000311DB"/>
    <w:rsid w:val="000773E2"/>
    <w:rsid w:val="00085D17"/>
    <w:rsid w:val="000B1E9A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80DDB"/>
    <w:rsid w:val="0029768B"/>
    <w:rsid w:val="002C1A82"/>
    <w:rsid w:val="002D6C41"/>
    <w:rsid w:val="00303637"/>
    <w:rsid w:val="00324927"/>
    <w:rsid w:val="0034373F"/>
    <w:rsid w:val="00377670"/>
    <w:rsid w:val="003B3DB0"/>
    <w:rsid w:val="00400514"/>
    <w:rsid w:val="00403207"/>
    <w:rsid w:val="00424B0D"/>
    <w:rsid w:val="004346D1"/>
    <w:rsid w:val="00450722"/>
    <w:rsid w:val="00455056"/>
    <w:rsid w:val="00455A7D"/>
    <w:rsid w:val="00466729"/>
    <w:rsid w:val="00486096"/>
    <w:rsid w:val="004936A6"/>
    <w:rsid w:val="004B668D"/>
    <w:rsid w:val="004D189E"/>
    <w:rsid w:val="004D3D38"/>
    <w:rsid w:val="004D683C"/>
    <w:rsid w:val="004F364E"/>
    <w:rsid w:val="004F6419"/>
    <w:rsid w:val="005212C4"/>
    <w:rsid w:val="00575F4F"/>
    <w:rsid w:val="00591704"/>
    <w:rsid w:val="005C0319"/>
    <w:rsid w:val="005C2102"/>
    <w:rsid w:val="005F7F17"/>
    <w:rsid w:val="0060552E"/>
    <w:rsid w:val="006350E4"/>
    <w:rsid w:val="00642F02"/>
    <w:rsid w:val="006634EB"/>
    <w:rsid w:val="00691F81"/>
    <w:rsid w:val="0069697A"/>
    <w:rsid w:val="006976E2"/>
    <w:rsid w:val="006A58BA"/>
    <w:rsid w:val="0072541F"/>
    <w:rsid w:val="0075264D"/>
    <w:rsid w:val="0075544E"/>
    <w:rsid w:val="00770890"/>
    <w:rsid w:val="007D2CA9"/>
    <w:rsid w:val="007F3096"/>
    <w:rsid w:val="008747DA"/>
    <w:rsid w:val="00883B1C"/>
    <w:rsid w:val="008842E1"/>
    <w:rsid w:val="00891BCC"/>
    <w:rsid w:val="008939C6"/>
    <w:rsid w:val="008A1698"/>
    <w:rsid w:val="008D0D95"/>
    <w:rsid w:val="008D6F57"/>
    <w:rsid w:val="008D750D"/>
    <w:rsid w:val="0091196E"/>
    <w:rsid w:val="00923405"/>
    <w:rsid w:val="00953E33"/>
    <w:rsid w:val="0099749A"/>
    <w:rsid w:val="009A0414"/>
    <w:rsid w:val="00A2553A"/>
    <w:rsid w:val="00A347C2"/>
    <w:rsid w:val="00A46DE3"/>
    <w:rsid w:val="00A64B2C"/>
    <w:rsid w:val="00A6567B"/>
    <w:rsid w:val="00A837AA"/>
    <w:rsid w:val="00AA70CD"/>
    <w:rsid w:val="00AB1909"/>
    <w:rsid w:val="00AB32FD"/>
    <w:rsid w:val="00B218D8"/>
    <w:rsid w:val="00B63484"/>
    <w:rsid w:val="00B73878"/>
    <w:rsid w:val="00B80636"/>
    <w:rsid w:val="00B81C83"/>
    <w:rsid w:val="00B9753F"/>
    <w:rsid w:val="00BA1341"/>
    <w:rsid w:val="00BA5F6D"/>
    <w:rsid w:val="00BB6D96"/>
    <w:rsid w:val="00BE4E97"/>
    <w:rsid w:val="00C6616A"/>
    <w:rsid w:val="00C66B54"/>
    <w:rsid w:val="00C66C99"/>
    <w:rsid w:val="00CA70E8"/>
    <w:rsid w:val="00CB47F1"/>
    <w:rsid w:val="00CC040A"/>
    <w:rsid w:val="00CD1669"/>
    <w:rsid w:val="00CE340C"/>
    <w:rsid w:val="00CF531C"/>
    <w:rsid w:val="00D203FE"/>
    <w:rsid w:val="00D418C1"/>
    <w:rsid w:val="00D549F5"/>
    <w:rsid w:val="00D92DB4"/>
    <w:rsid w:val="00DB2A70"/>
    <w:rsid w:val="00DC1112"/>
    <w:rsid w:val="00DF7143"/>
    <w:rsid w:val="00E20887"/>
    <w:rsid w:val="00E6693D"/>
    <w:rsid w:val="00E9781C"/>
    <w:rsid w:val="00EB03CE"/>
    <w:rsid w:val="00ED4887"/>
    <w:rsid w:val="00F50047"/>
    <w:rsid w:val="00F809F2"/>
    <w:rsid w:val="00F80A71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982D-6E77-438E-98C8-E98474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B2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A5A20-1F17-46BF-BB64-8F722F86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RgSpAdmin</cp:lastModifiedBy>
  <cp:revision>11</cp:revision>
  <cp:lastPrinted>2023-08-10T07:54:00Z</cp:lastPrinted>
  <dcterms:created xsi:type="dcterms:W3CDTF">2020-09-14T11:59:00Z</dcterms:created>
  <dcterms:modified xsi:type="dcterms:W3CDTF">2023-08-10T08:05:00Z</dcterms:modified>
</cp:coreProperties>
</file>