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49136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 мая 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</w:t>
      </w:r>
      <w:r w:rsidR="006423EA">
        <w:rPr>
          <w:rFonts w:ascii="Times New Roman" w:hAnsi="Times New Roman"/>
          <w:b/>
          <w:sz w:val="24"/>
          <w:szCs w:val="24"/>
        </w:rPr>
        <w:t xml:space="preserve">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52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="005C1F25">
        <w:rPr>
          <w:rFonts w:ascii="Times New Roman" w:hAnsi="Times New Roman" w:cs="Times New Roman"/>
          <w:sz w:val="24"/>
          <w:szCs w:val="24"/>
        </w:rPr>
        <w:t xml:space="preserve"> 202</w:t>
      </w:r>
      <w:r w:rsidR="0049136E">
        <w:rPr>
          <w:rFonts w:ascii="Times New Roman" w:hAnsi="Times New Roman" w:cs="Times New Roman"/>
          <w:sz w:val="24"/>
          <w:szCs w:val="24"/>
        </w:rPr>
        <w:t>1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 w:rsidR="0049136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49136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</w:t>
      </w:r>
      <w:r w:rsidR="0049136E">
        <w:rPr>
          <w:sz w:val="24"/>
          <w:szCs w:val="24"/>
        </w:rPr>
        <w:t xml:space="preserve"> за 2021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49136E">
        <w:rPr>
          <w:rFonts w:ascii="Times New Roman" w:hAnsi="Times New Roman"/>
          <w:sz w:val="24"/>
          <w:szCs w:val="24"/>
        </w:rPr>
        <w:t>по итогам 2021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49136E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17.05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52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9136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277"/>
        <w:gridCol w:w="1700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7E67E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rPr>
          <w:trHeight w:val="362"/>
        </w:trPr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7E67EF">
        <w:trPr>
          <w:trHeight w:val="1501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CF1838" w:rsidRDefault="004913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</w:tcPr>
          <w:p w:rsidR="00120FF0" w:rsidRPr="00CF1838" w:rsidRDefault="004913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91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91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91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F0A83" w:rsidRPr="00CF1838" w:rsidRDefault="0049136E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</w:tcPr>
          <w:p w:rsidR="003F0A83" w:rsidRPr="00CF1838" w:rsidRDefault="0049136E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3F0A83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rPr>
          <w:trHeight w:val="692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573697" w:rsidRDefault="00573697" w:rsidP="005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982,6</w:t>
            </w:r>
          </w:p>
        </w:tc>
        <w:tc>
          <w:tcPr>
            <w:tcW w:w="1700" w:type="dxa"/>
          </w:tcPr>
          <w:p w:rsidR="00120FF0" w:rsidRPr="00CF1838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982,6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4913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91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91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F0A83" w:rsidRPr="00CF1838" w:rsidRDefault="00573697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982,6</w:t>
            </w:r>
          </w:p>
        </w:tc>
        <w:tc>
          <w:tcPr>
            <w:tcW w:w="1700" w:type="dxa"/>
          </w:tcPr>
          <w:p w:rsidR="003F0A83" w:rsidRPr="00CF1838" w:rsidRDefault="00573697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982,6</w:t>
            </w:r>
          </w:p>
        </w:tc>
        <w:tc>
          <w:tcPr>
            <w:tcW w:w="1701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4286,5</w:t>
            </w:r>
          </w:p>
        </w:tc>
        <w:tc>
          <w:tcPr>
            <w:tcW w:w="1700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4286,5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3470,6</w:t>
            </w:r>
          </w:p>
        </w:tc>
        <w:tc>
          <w:tcPr>
            <w:tcW w:w="1700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3470,6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7E67E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0" w:type="dxa"/>
          </w:tcPr>
          <w:p w:rsidR="00120FF0" w:rsidRDefault="0057369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7E67E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Диспансеризация муниципальных служащих, технического и обслуживающего персонала Администрации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20FF0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00" w:type="dxa"/>
          </w:tcPr>
          <w:p w:rsidR="00120FF0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3.4.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120FF0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700" w:type="dxa"/>
          </w:tcPr>
          <w:p w:rsidR="00120FF0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36C2" w:rsidRPr="00CF1838" w:rsidTr="007E67EF">
        <w:tc>
          <w:tcPr>
            <w:tcW w:w="3685" w:type="dxa"/>
          </w:tcPr>
          <w:p w:rsidR="00B936C2" w:rsidRPr="00B936C2" w:rsidRDefault="00B936C2" w:rsidP="00B9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3.6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B936C2" w:rsidRPr="0054347D" w:rsidRDefault="00B936C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984" w:type="dxa"/>
          </w:tcPr>
          <w:p w:rsidR="00B936C2" w:rsidRPr="0054347D" w:rsidRDefault="00B936C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936C2" w:rsidRPr="00CF1838" w:rsidRDefault="00B936C2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B936C2" w:rsidRPr="00CF1838" w:rsidRDefault="00B936C2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B936C2" w:rsidRPr="00CF1838" w:rsidRDefault="00B936C2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77" w:type="dxa"/>
          </w:tcPr>
          <w:p w:rsidR="00B936C2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0" w:type="dxa"/>
          </w:tcPr>
          <w:p w:rsidR="00B936C2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</w:tcPr>
          <w:p w:rsidR="00B936C2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67EF" w:rsidRPr="00CF1838" w:rsidTr="007E67EF">
        <w:tc>
          <w:tcPr>
            <w:tcW w:w="3685" w:type="dxa"/>
          </w:tcPr>
          <w:p w:rsid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3.7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7E67EF" w:rsidRP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67EF">
              <w:rPr>
                <w:rFonts w:ascii="Times New Roman" w:hAnsi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984" w:type="dxa"/>
          </w:tcPr>
          <w:p w:rsidR="007E67EF" w:rsidRPr="0054347D" w:rsidRDefault="007E67EF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E67EF" w:rsidRPr="00CF1838" w:rsidRDefault="007E67EF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7E67EF" w:rsidRPr="00CF1838" w:rsidRDefault="007E67EF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7E67EF" w:rsidRPr="00CF1838" w:rsidRDefault="007E67EF" w:rsidP="00ED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77" w:type="dxa"/>
          </w:tcPr>
          <w:p w:rsidR="007E67EF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0" w:type="dxa"/>
          </w:tcPr>
          <w:p w:rsidR="007E67EF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7E67EF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rPr>
          <w:trHeight w:val="794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151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0FF0" w:rsidRPr="00CF1838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5272,7</w:t>
            </w:r>
          </w:p>
        </w:tc>
        <w:tc>
          <w:tcPr>
            <w:tcW w:w="1700" w:type="dxa"/>
          </w:tcPr>
          <w:p w:rsidR="00120FF0" w:rsidRPr="00CF1838" w:rsidRDefault="007E67E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5272,7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6423E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17.05.2022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3EA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23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6423EA">
        <w:trPr>
          <w:trHeight w:val="388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423E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3EA"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3EA"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423E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BF">
              <w:rPr>
                <w:rFonts w:ascii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D875B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D875B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5272,5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1D2DD4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1D2DD4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1D2DD4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функционирования Главы администрации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34013C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4286,5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>
            <w:r w:rsidRPr="00E27CC5">
              <w:rPr>
                <w:rFonts w:ascii="Times New Roman" w:hAnsi="Times New Roman"/>
                <w:sz w:val="24"/>
                <w:szCs w:val="24"/>
              </w:rPr>
              <w:t>4286,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>
            <w:r w:rsidRPr="00E27CC5">
              <w:rPr>
                <w:rFonts w:ascii="Times New Roman" w:hAnsi="Times New Roman"/>
                <w:sz w:val="24"/>
                <w:szCs w:val="24"/>
              </w:rPr>
              <w:t>4286,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>
            <w:r w:rsidRPr="00E27CC5">
              <w:rPr>
                <w:rFonts w:ascii="Times New Roman" w:hAnsi="Times New Roman"/>
                <w:sz w:val="24"/>
                <w:szCs w:val="24"/>
              </w:rPr>
              <w:t>4286,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3.2.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</w:t>
            </w:r>
            <w:r w:rsidR="00602C71">
              <w:rPr>
                <w:rFonts w:ascii="Times New Roman" w:hAnsi="Times New Roman"/>
                <w:sz w:val="24"/>
                <w:szCs w:val="24"/>
              </w:rPr>
              <w:t>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 w:rsidP="00602C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>
            <w:r w:rsidRPr="004F2FAB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>
            <w:r w:rsidRPr="004F2FAB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 w:rsidP="006D1940">
            <w:pPr>
              <w:jc w:val="both"/>
            </w:pPr>
            <w:r w:rsidRPr="00D74DB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 w:rsidP="006D1940">
            <w:pPr>
              <w:jc w:val="both"/>
            </w:pPr>
            <w:r w:rsidRPr="00D74DB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D1940" w:rsidP="006D1940">
            <w:pPr>
              <w:jc w:val="both"/>
            </w:pPr>
            <w:r w:rsidRPr="00D74DB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 w:rsidRPr="00D2646F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2646F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1D2DD4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3.7</w:t>
            </w:r>
            <w:r w:rsidR="00D2646F"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ED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602C71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6A6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7B6A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6A6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17.05.2022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6A6C">
        <w:rPr>
          <w:rFonts w:ascii="Times New Roman" w:eastAsia="Times New Roman" w:hAnsi="Times New Roman"/>
          <w:sz w:val="24"/>
          <w:szCs w:val="24"/>
          <w:lang w:eastAsia="ru-RU"/>
        </w:rPr>
        <w:t xml:space="preserve"> 52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Доля граждан, положительно оценивающих деятельность органа местного самоуправления.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A6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1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граждан, удовлетворенных уровнем информированности о деятельности органов государственной власти Роговского сельского </w:t>
            </w: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BF159B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получивших дополнительное профессиональное образование</w:t>
            </w:r>
          </w:p>
          <w:p w:rsidR="00F601DE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B365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B3655" w:rsidP="00A31E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муниципальных служащих, получивших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 202</w:t>
            </w:r>
            <w:r w:rsidR="00A31E7E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году </w:t>
            </w: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нет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A31E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старше 30 лет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E16CD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E16CD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должностей нет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лиц, получающих  доплату к государственной пенсии за выслугу лет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2978E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</w:t>
      </w:r>
    </w:p>
    <w:p w:rsidR="00FC281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A31E7E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17.05.2022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52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>ипальная политика</w:t>
      </w:r>
      <w:r w:rsidRPr="00532941">
        <w:rPr>
          <w:caps/>
          <w:color w:val="000000"/>
        </w:rPr>
        <w:t>»</w:t>
      </w:r>
      <w:r w:rsidRPr="00532941">
        <w:rPr>
          <w:rFonts w:eastAsia="Times New Roman"/>
          <w:caps/>
          <w:lang w:eastAsia="ru-RU"/>
        </w:rPr>
        <w:t xml:space="preserve">  </w:t>
      </w:r>
      <w:r w:rsidR="00A31E7E">
        <w:rPr>
          <w:rFonts w:eastAsia="Times New Roman"/>
          <w:caps/>
          <w:lang w:eastAsia="ru-RU"/>
        </w:rPr>
        <w:t>за 2021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 xml:space="preserve"> = ид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/и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,</w:t>
      </w:r>
      <w:bookmarkEnd w:id="2"/>
    </w:p>
    <w:p w:rsidR="001445C0" w:rsidRPr="00874B70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CE4DAB" w:rsidRDefault="00CE4DA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167351">
        <w:rPr>
          <w:rFonts w:ascii="Times New Roman" w:hAnsi="Times New Roman" w:cs="Times New Roman"/>
          <w:i/>
          <w:kern w:val="2"/>
          <w:sz w:val="28"/>
          <w:szCs w:val="28"/>
        </w:rPr>
        <w:t>56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167351">
        <w:rPr>
          <w:rFonts w:ascii="Times New Roman" w:hAnsi="Times New Roman" w:cs="Times New Roman"/>
          <w:i/>
          <w:kern w:val="2"/>
          <w:sz w:val="28"/>
          <w:szCs w:val="28"/>
        </w:rPr>
        <w:t>56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167351">
        <w:rPr>
          <w:i/>
          <w:sz w:val="28"/>
          <w:szCs w:val="28"/>
        </w:rPr>
        <w:t>56/56</w:t>
      </w:r>
      <w:r w:rsidR="00CE4DAB">
        <w:rPr>
          <w:i/>
          <w:sz w:val="28"/>
          <w:szCs w:val="28"/>
        </w:rPr>
        <w:t>=1,0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1,0</w:t>
      </w:r>
      <w:r w:rsidR="00874B70" w:rsidRPr="00874B70">
        <w:rPr>
          <w:b/>
          <w:i/>
        </w:rPr>
        <w:t>;</w:t>
      </w:r>
    </w:p>
    <w:p w:rsidR="00874B70" w:rsidRPr="0031538D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1538D" w:rsidRDefault="00CE4DAB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="00874B70" w:rsidRPr="0031538D">
        <w:rPr>
          <w:i/>
          <w:kern w:val="2"/>
        </w:rPr>
        <w:t xml:space="preserve">план </w:t>
      </w:r>
      <w:r w:rsidRPr="0031538D">
        <w:rPr>
          <w:i/>
          <w:kern w:val="2"/>
        </w:rPr>
        <w:t xml:space="preserve">100% факт </w:t>
      </w:r>
      <w:r w:rsidR="00874B70" w:rsidRPr="0031538D">
        <w:rPr>
          <w:i/>
          <w:kern w:val="2"/>
        </w:rPr>
        <w:t xml:space="preserve"> </w:t>
      </w:r>
      <w:r w:rsidRPr="0031538D">
        <w:rPr>
          <w:i/>
          <w:kern w:val="2"/>
        </w:rPr>
        <w:t>100%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CE4DAB" w:rsidRPr="0031538D">
        <w:rPr>
          <w:i/>
        </w:rPr>
        <w:t>100</w:t>
      </w:r>
      <w:r w:rsidR="002A5242" w:rsidRPr="0031538D">
        <w:rPr>
          <w:i/>
        </w:rPr>
        <w:t>/</w:t>
      </w:r>
      <w:r w:rsidR="00CE4DAB" w:rsidRPr="0031538D">
        <w:rPr>
          <w:i/>
        </w:rPr>
        <w:t>100</w:t>
      </w:r>
      <w:r w:rsidR="002A5242" w:rsidRPr="0031538D">
        <w:rPr>
          <w:i/>
        </w:rPr>
        <w:t>=1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Pr="0031538D">
        <w:rPr>
          <w:b/>
          <w:i/>
        </w:rPr>
        <w:t>;</w:t>
      </w:r>
    </w:p>
    <w:p w:rsidR="00CE4DAB" w:rsidRPr="0031538D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31538D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31538D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B668DA">
        <w:rPr>
          <w:i/>
          <w:kern w:val="2"/>
        </w:rPr>
        <w:t>33%, факт 0,0</w:t>
      </w:r>
      <w:r w:rsidR="0031538D" w:rsidRPr="0031538D">
        <w:rPr>
          <w:i/>
          <w:kern w:val="2"/>
        </w:rPr>
        <w:t>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31538D" w:rsidRPr="0031538D">
        <w:rPr>
          <w:i/>
        </w:rPr>
        <w:t>33</w:t>
      </w:r>
      <w:r w:rsidRPr="0031538D">
        <w:rPr>
          <w:i/>
        </w:rPr>
        <w:t>/</w:t>
      </w:r>
      <w:r w:rsidR="00B668DA">
        <w:rPr>
          <w:i/>
        </w:rPr>
        <w:t>0,0=0</w:t>
      </w:r>
      <w:r w:rsidRPr="0031538D">
        <w:rPr>
          <w:i/>
        </w:rPr>
        <w:t>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</w:t>
      </w:r>
      <w:r w:rsidR="00B668DA">
        <w:rPr>
          <w:b/>
          <w:i/>
        </w:rPr>
        <w:t xml:space="preserve"> 0</w:t>
      </w:r>
      <w:r w:rsidRPr="0031538D">
        <w:rPr>
          <w:b/>
          <w:i/>
        </w:rPr>
        <w:t>,0;</w:t>
      </w:r>
    </w:p>
    <w:p w:rsidR="0030112C" w:rsidRPr="0030112C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6</w:t>
      </w:r>
      <w:r w:rsidR="0010758A">
        <w:rPr>
          <w:i/>
          <w:kern w:val="2"/>
        </w:rPr>
        <w:t>5</w:t>
      </w:r>
      <w:r w:rsidR="0030112C">
        <w:rPr>
          <w:i/>
          <w:kern w:val="2"/>
        </w:rPr>
        <w:t>%</w:t>
      </w:r>
      <w:r>
        <w:rPr>
          <w:i/>
          <w:kern w:val="2"/>
        </w:rPr>
        <w:t xml:space="preserve">  факт 6</w:t>
      </w:r>
      <w:r w:rsidR="0010758A">
        <w:rPr>
          <w:i/>
          <w:kern w:val="2"/>
        </w:rPr>
        <w:t>5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31538D">
        <w:rPr>
          <w:i/>
        </w:rPr>
        <w:t>6</w:t>
      </w:r>
      <w:r w:rsidR="0010758A">
        <w:rPr>
          <w:i/>
        </w:rPr>
        <w:t>5</w:t>
      </w:r>
      <w:r>
        <w:rPr>
          <w:i/>
        </w:rPr>
        <w:t xml:space="preserve"> /</w:t>
      </w:r>
      <w:r w:rsidR="0031538D">
        <w:rPr>
          <w:i/>
        </w:rPr>
        <w:t>6</w:t>
      </w:r>
      <w:r w:rsidR="0010758A">
        <w:rPr>
          <w:i/>
        </w:rPr>
        <w:t>5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>
        <w:rPr>
          <w:i/>
        </w:rPr>
        <w:t xml:space="preserve"> </w:t>
      </w:r>
      <w:r w:rsidR="0030112C">
        <w:rPr>
          <w:i/>
        </w:rPr>
        <w:t xml:space="preserve">план </w:t>
      </w:r>
      <w:r>
        <w:rPr>
          <w:i/>
        </w:rPr>
        <w:t>1</w:t>
      </w:r>
      <w:r w:rsidR="00167351">
        <w:rPr>
          <w:i/>
        </w:rPr>
        <w:t>8</w:t>
      </w:r>
      <w:r w:rsidR="0030112C">
        <w:rPr>
          <w:i/>
        </w:rPr>
        <w:t xml:space="preserve">%, факт </w:t>
      </w:r>
      <w:r>
        <w:rPr>
          <w:i/>
        </w:rPr>
        <w:t>0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167351">
        <w:rPr>
          <w:i/>
        </w:rPr>
        <w:t>18</w:t>
      </w:r>
      <w:r w:rsidR="0010758A">
        <w:rPr>
          <w:i/>
        </w:rPr>
        <w:t>/0=0,0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</w:t>
      </w:r>
      <w:r w:rsidR="0010758A">
        <w:rPr>
          <w:b/>
          <w:i/>
        </w:rPr>
        <w:t>пальной программы составляет 0,0</w:t>
      </w:r>
      <w:r w:rsidRPr="00874B70">
        <w:rPr>
          <w:b/>
          <w:i/>
        </w:rPr>
        <w:t>;</w:t>
      </w:r>
    </w:p>
    <w:p w:rsidR="003A23FF" w:rsidRPr="0030112C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="0010758A">
        <w:rPr>
          <w:i/>
        </w:rPr>
        <w:t xml:space="preserve"> план 16%, факт 0</w:t>
      </w:r>
      <w:r w:rsidRPr="003A23FF">
        <w:rPr>
          <w:i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="0010758A">
        <w:rPr>
          <w:i/>
        </w:rPr>
        <w:t>=16/0=0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10758A">
        <w:rPr>
          <w:b/>
          <w:i/>
        </w:rPr>
        <w:t>ципальной программы составляет 0</w:t>
      </w:r>
      <w:r w:rsidRPr="003A23FF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lastRenderedPageBreak/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Pr="0030112C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581348">
        <w:rPr>
          <w:i/>
          <w:color w:val="000000" w:themeColor="text1"/>
        </w:rPr>
        <w:t xml:space="preserve"> план 100%, факт 0,0</w:t>
      </w:r>
      <w:r w:rsidRPr="003A23FF">
        <w:rPr>
          <w:i/>
          <w:color w:val="000000" w:themeColor="text1"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 w:rsidR="00581348">
        <w:rPr>
          <w:i/>
        </w:rPr>
        <w:t>0,0=0</w:t>
      </w:r>
    </w:p>
    <w:p w:rsidR="00B315D5" w:rsidRPr="000D2E02" w:rsidRDefault="003A23FF" w:rsidP="000D2E02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581348">
        <w:rPr>
          <w:b/>
          <w:i/>
        </w:rPr>
        <w:t>ипальной программы составляет 0</w:t>
      </w:r>
      <w:r w:rsidRPr="00874B70">
        <w:rPr>
          <w:b/>
          <w:i/>
        </w:rPr>
        <w:t>;</w:t>
      </w:r>
    </w:p>
    <w:p w:rsidR="00B315D5" w:rsidRPr="00C502BB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>2</w:t>
      </w:r>
      <w:r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502BB">
        <w:t>Э</w:t>
      </w:r>
      <w:r w:rsidRPr="00C502BB">
        <w:rPr>
          <w:vertAlign w:val="subscript"/>
        </w:rPr>
        <w:t>п</w:t>
      </w:r>
      <w:r w:rsidRPr="00C502BB">
        <w:t xml:space="preserve"> = ИЦп/ИД</w:t>
      </w:r>
      <w:r w:rsidRPr="00C502BB">
        <w:rPr>
          <w:vertAlign w:val="subscript"/>
        </w:rPr>
        <w:t>п</w:t>
      </w:r>
      <w:bookmarkEnd w:id="3"/>
    </w:p>
    <w:p w:rsidR="000D2E02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C502BB" w:rsidRPr="00874B70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CE4DA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="0016735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56% факт 56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167351">
        <w:rPr>
          <w:i/>
          <w:sz w:val="28"/>
          <w:szCs w:val="28"/>
        </w:rPr>
        <w:t>=56/56</w:t>
      </w:r>
      <w:r>
        <w:rPr>
          <w:i/>
          <w:sz w:val="28"/>
          <w:szCs w:val="28"/>
        </w:rPr>
        <w:t>=1,0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>ляет 1,0</w:t>
      </w:r>
      <w:r w:rsidRPr="00874B70">
        <w:rPr>
          <w:b/>
          <w:i/>
        </w:rPr>
        <w:t>;</w:t>
      </w: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Pr="0031538D">
        <w:rPr>
          <w:i/>
          <w:kern w:val="2"/>
        </w:rPr>
        <w:t>план 100% факт  100%.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=100/100=1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3) Показатель 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C502BB" w:rsidRPr="0031538D" w:rsidRDefault="00581348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</w:rPr>
        <w:lastRenderedPageBreak/>
        <w:t xml:space="preserve"> план 33%, факт 0,0</w:t>
      </w:r>
      <w:r w:rsidR="00C502BB" w:rsidRPr="0031538D">
        <w:rPr>
          <w:i/>
          <w:kern w:val="2"/>
        </w:rPr>
        <w:t>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</w:t>
      </w:r>
      <w:r w:rsidR="00581348">
        <w:rPr>
          <w:b/>
          <w:i/>
        </w:rPr>
        <w:t>ципальной программы составляет 0</w:t>
      </w:r>
      <w:r w:rsidRPr="0031538D">
        <w:rPr>
          <w:b/>
          <w:i/>
        </w:rPr>
        <w:t>,0;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 w:rsidR="008E14C9">
        <w:rPr>
          <w:i/>
          <w:kern w:val="2"/>
        </w:rPr>
        <w:t xml:space="preserve"> план 65%  факт 65</w:t>
      </w:r>
      <w:r>
        <w:rPr>
          <w:i/>
          <w:kern w:val="2"/>
        </w:rPr>
        <w:t>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E14C9">
        <w:rPr>
          <w:i/>
        </w:rPr>
        <w:t>=65 /65</w:t>
      </w:r>
      <w:r>
        <w:rPr>
          <w:i/>
        </w:rPr>
        <w:t>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 w:rsidR="00167351">
        <w:rPr>
          <w:i/>
        </w:rPr>
        <w:t xml:space="preserve"> план 18</w:t>
      </w:r>
      <w:r w:rsidR="008E14C9">
        <w:rPr>
          <w:i/>
        </w:rPr>
        <w:t>%, факт 0,</w:t>
      </w:r>
      <w:r>
        <w:rPr>
          <w:i/>
        </w:rPr>
        <w:t>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</w:t>
      </w:r>
      <w:r w:rsidR="008E14C9">
        <w:rPr>
          <w:b/>
          <w:i/>
        </w:rPr>
        <w:t>альной программы составляет 0,0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="008E14C9">
        <w:rPr>
          <w:i/>
        </w:rPr>
        <w:t xml:space="preserve"> план 16%, факт 0,0</w:t>
      </w:r>
      <w:r w:rsidRPr="003A23FF">
        <w:rPr>
          <w:i/>
        </w:rPr>
        <w:t>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8E14C9"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30112C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167E74">
        <w:rPr>
          <w:i/>
          <w:color w:val="000000" w:themeColor="text1"/>
        </w:rPr>
        <w:t xml:space="preserve"> план 100%, факт 0</w:t>
      </w:r>
      <w:r w:rsidRPr="003A23FF">
        <w:rPr>
          <w:i/>
          <w:color w:val="000000" w:themeColor="text1"/>
        </w:rPr>
        <w:t>%,</w:t>
      </w:r>
    </w:p>
    <w:p w:rsidR="00C502BB" w:rsidRPr="000D2E02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 xml:space="preserve">ипальной </w:t>
      </w:r>
      <w:r>
        <w:rPr>
          <w:b/>
          <w:i/>
        </w:rPr>
        <w:lastRenderedPageBreak/>
        <w:t xml:space="preserve">программы составляет </w:t>
      </w:r>
      <w:r w:rsidR="00167E74"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5C035A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49136E" w:rsidRDefault="0049136E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3A7BF2">
        <w:rPr>
          <w:rFonts w:ascii="Times New Roman" w:hAnsi="Times New Roman"/>
          <w:sz w:val="28"/>
          <w:szCs w:val="28"/>
          <w:lang w:eastAsia="zh-CN"/>
        </w:rPr>
        <w:t>(</w:t>
      </w:r>
      <w:r w:rsidR="00167E74">
        <w:rPr>
          <w:rFonts w:ascii="Times New Roman" w:hAnsi="Times New Roman"/>
          <w:sz w:val="28"/>
          <w:szCs w:val="28"/>
          <w:lang w:eastAsia="zh-CN"/>
        </w:rPr>
        <w:t>1+1+1+0+1+0+1+0+1+1+0+1+1+1+0+1+0+1+0+1+</w:t>
      </w:r>
      <w:r w:rsidR="003A7BF2">
        <w:rPr>
          <w:rFonts w:ascii="Times New Roman" w:hAnsi="Times New Roman"/>
          <w:sz w:val="28"/>
          <w:szCs w:val="28"/>
          <w:lang w:eastAsia="zh-CN"/>
        </w:rPr>
        <w:t>1+0)</w:t>
      </w:r>
      <w:r w:rsidR="00F25449">
        <w:rPr>
          <w:rFonts w:ascii="Times New Roman" w:hAnsi="Times New Roman"/>
          <w:sz w:val="28"/>
          <w:szCs w:val="28"/>
          <w:lang w:eastAsia="zh-CN"/>
        </w:rPr>
        <w:t>/22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F25449">
        <w:rPr>
          <w:rFonts w:ascii="Times New Roman" w:hAnsi="Times New Roman"/>
          <w:sz w:val="28"/>
          <w:szCs w:val="28"/>
          <w:lang w:eastAsia="zh-CN"/>
        </w:rPr>
        <w:t>0,</w:t>
      </w:r>
      <w:r w:rsidR="003A7BF2">
        <w:rPr>
          <w:rFonts w:ascii="Times New Roman" w:hAnsi="Times New Roman"/>
          <w:sz w:val="28"/>
          <w:szCs w:val="28"/>
          <w:lang w:eastAsia="zh-CN"/>
        </w:rPr>
        <w:t>64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F25449">
        <w:rPr>
          <w:i/>
        </w:rPr>
        <w:t>0,</w:t>
      </w:r>
      <w:r w:rsidR="003A7BF2">
        <w:rPr>
          <w:i/>
        </w:rPr>
        <w:t>64</w:t>
      </w:r>
      <w:r w:rsidR="00B315D5" w:rsidRPr="00C50A0D">
        <w:rPr>
          <w:i/>
        </w:rPr>
        <w:t xml:space="preserve"> , это характеризует </w:t>
      </w:r>
      <w:r w:rsidR="00F25449">
        <w:rPr>
          <w:i/>
        </w:rPr>
        <w:t>низки</w:t>
      </w:r>
      <w:r w:rsidR="00C502BB">
        <w:rPr>
          <w:i/>
        </w:rPr>
        <w:t>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532941">
        <w:t>СРом = Мв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F25449">
        <w:t>7</w:t>
      </w:r>
      <w:r w:rsidRPr="00532941">
        <w:t>/</w:t>
      </w:r>
      <w:r w:rsidR="00F25449">
        <w:t>7</w:t>
      </w:r>
      <w:r w:rsidRPr="00532941">
        <w:t>=1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>значение показателя составляет 1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СРм = Мв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 xml:space="preserve">СРм = </w:t>
      </w:r>
      <w:r w:rsidR="00F25449">
        <w:t>7</w:t>
      </w:r>
      <w:r w:rsidRPr="00310195">
        <w:t xml:space="preserve"> / </w:t>
      </w:r>
      <w:r w:rsidR="007B0EB6">
        <w:t>7=</w:t>
      </w:r>
      <w:r w:rsidRPr="00310195">
        <w:t>1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ССуз = Зф / Зп,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3A7BF2">
        <w:rPr>
          <w:rFonts w:ascii="Times New Roman" w:hAnsi="Times New Roman" w:cs="Times New Roman"/>
          <w:sz w:val="28"/>
          <w:szCs w:val="28"/>
        </w:rPr>
        <w:t>5272,7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3A7BF2">
        <w:rPr>
          <w:rFonts w:ascii="Times New Roman" w:hAnsi="Times New Roman" w:cs="Times New Roman"/>
          <w:sz w:val="28"/>
          <w:szCs w:val="28"/>
        </w:rPr>
        <w:t>5272,7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="003A7BF2" w:rsidRPr="003A7BF2">
        <w:rPr>
          <w:vertAlign w:val="subscript"/>
        </w:rPr>
        <w:t>О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</w:t>
      </w:r>
      <w:r w:rsidR="003A7BF2" w:rsidRPr="00310195">
        <w:t>СР</w:t>
      </w:r>
      <w:r w:rsidR="003A7BF2" w:rsidRPr="003A7BF2">
        <w:rPr>
          <w:vertAlign w:val="subscript"/>
        </w:rPr>
        <w:t>О</w:t>
      </w:r>
      <w:r w:rsidR="003A7BF2" w:rsidRPr="00310195">
        <w:rPr>
          <w:vertAlign w:val="subscript"/>
        </w:rPr>
        <w:t>М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t>Э</w:t>
      </w:r>
      <w:r w:rsidRPr="00310195">
        <w:rPr>
          <w:vertAlign w:val="subscript"/>
        </w:rPr>
        <w:t>ис</w:t>
      </w:r>
      <w:r w:rsidR="00F560BE" w:rsidRPr="00310195">
        <w:rPr>
          <w:vertAlign w:val="subscript"/>
        </w:rPr>
        <w:t xml:space="preserve"> </w:t>
      </w:r>
      <w:r w:rsidRPr="00310195">
        <w:t>=1/</w:t>
      </w:r>
      <w:r w:rsidR="00F560BE" w:rsidRPr="00310195">
        <w:t>1=1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признается: высокой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 </w:t>
      </w:r>
      <w:r w:rsidR="00C502BB">
        <w:rPr>
          <w:i/>
        </w:rPr>
        <w:t>1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lastRenderedPageBreak/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310195">
        <w:t>УР</w:t>
      </w:r>
      <w:r w:rsidRPr="00310195">
        <w:rPr>
          <w:vertAlign w:val="subscript"/>
        </w:rPr>
        <w:t>пр</w:t>
      </w:r>
      <w:r w:rsidRPr="00310195">
        <w:t>=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>х 0,3 + Э</w:t>
      </w:r>
      <w:r w:rsidRPr="00310195">
        <w:rPr>
          <w:vertAlign w:val="subscript"/>
        </w:rPr>
        <w:t>ис</w:t>
      </w:r>
      <w:r w:rsidRPr="00310195">
        <w:t>х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7B0EB6">
        <w:t>0,</w:t>
      </w:r>
      <w:r w:rsidR="003A7BF2">
        <w:t>64</w:t>
      </w:r>
      <w:r w:rsidR="006E0158">
        <w:t>х</w:t>
      </w:r>
      <w:proofErr w:type="gramStart"/>
      <w:r w:rsidR="006E0158">
        <w:t>0</w:t>
      </w:r>
      <w:proofErr w:type="gramEnd"/>
      <w:r w:rsidR="006E0158">
        <w:t>,5+1х0,3+1х0,2=</w:t>
      </w:r>
      <w:r w:rsidR="00AD79CC">
        <w:t>0,82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7B0EB6">
        <w:t>удовлетворительным</w:t>
      </w:r>
      <w:r w:rsidRPr="00310195">
        <w:t xml:space="preserve">, </w:t>
      </w:r>
      <w:r w:rsidR="00310195" w:rsidRPr="00310195">
        <w:t xml:space="preserve">и </w:t>
      </w:r>
      <w:r w:rsidR="007B0EB6">
        <w:t xml:space="preserve"> составляет 0,</w:t>
      </w:r>
      <w:r w:rsidR="00AD79CC">
        <w:t>82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532941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D79CC">
        <w:rPr>
          <w:rFonts w:ascii="Times New Roman" w:eastAsia="Times New Roman" w:hAnsi="Times New Roman"/>
          <w:sz w:val="24"/>
          <w:szCs w:val="24"/>
          <w:lang w:eastAsia="ru-RU"/>
        </w:rPr>
        <w:t>от 17.05.2022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9CC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AD79CC">
        <w:rPr>
          <w:rFonts w:ascii="Times New Roman" w:hAnsi="Times New Roman"/>
          <w:sz w:val="28"/>
          <w:szCs w:val="28"/>
        </w:rPr>
        <w:t>по итогам 2021</w:t>
      </w:r>
      <w:r w:rsidR="00B315D5" w:rsidRPr="00532941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5272,7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5272,5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й программы 01.01.2021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AD79CC">
        <w:rPr>
          <w:rFonts w:ascii="Times New Roman" w:hAnsi="Times New Roman"/>
          <w:sz w:val="28"/>
          <w:szCs w:val="28"/>
        </w:rPr>
        <w:t>» на 2021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AD79CC">
        <w:rPr>
          <w:rFonts w:ascii="Times New Roman" w:hAnsi="Times New Roman"/>
          <w:sz w:val="28"/>
          <w:szCs w:val="28"/>
        </w:rPr>
        <w:t>3,6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D79CC">
        <w:rPr>
          <w:rFonts w:ascii="Times New Roman" w:hAnsi="Times New Roman"/>
          <w:sz w:val="28"/>
          <w:szCs w:val="28"/>
        </w:rPr>
        <w:t>3,6</w:t>
      </w:r>
      <w:r w:rsidRPr="00532941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="00AD79CC">
        <w:rPr>
          <w:rFonts w:ascii="Times New Roman" w:hAnsi="Times New Roman"/>
          <w:sz w:val="28"/>
          <w:szCs w:val="28"/>
        </w:rPr>
        <w:t>» на 2021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AD79CC">
        <w:rPr>
          <w:rFonts w:ascii="Times New Roman" w:hAnsi="Times New Roman"/>
          <w:sz w:val="28"/>
          <w:szCs w:val="28"/>
        </w:rPr>
        <w:t>982,6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AD79CC">
        <w:rPr>
          <w:rFonts w:ascii="Times New Roman" w:hAnsi="Times New Roman"/>
          <w:sz w:val="28"/>
          <w:szCs w:val="28"/>
        </w:rPr>
        <w:t>еское освоение составляет 982,6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="00AD79CC">
        <w:rPr>
          <w:rFonts w:ascii="Times New Roman" w:hAnsi="Times New Roman"/>
          <w:sz w:val="28"/>
          <w:szCs w:val="28"/>
        </w:rPr>
        <w:t>» на 2021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AD79CC">
        <w:rPr>
          <w:rFonts w:ascii="Times New Roman" w:hAnsi="Times New Roman"/>
          <w:sz w:val="28"/>
          <w:szCs w:val="28"/>
        </w:rPr>
        <w:t>4286,5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AD79CC">
        <w:rPr>
          <w:rFonts w:ascii="Times New Roman" w:hAnsi="Times New Roman"/>
          <w:sz w:val="28"/>
          <w:szCs w:val="28"/>
        </w:rPr>
        <w:t>4286,5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</w:t>
      </w:r>
      <w:r>
        <w:rPr>
          <w:rFonts w:ascii="Times New Roman" w:hAnsi="Times New Roman"/>
          <w:sz w:val="28"/>
          <w:szCs w:val="28"/>
        </w:rPr>
        <w:t xml:space="preserve">  из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100,0 процента плановых назначений и 0,00</w:t>
      </w:r>
      <w:r w:rsidR="00AD79CC">
        <w:rPr>
          <w:rFonts w:ascii="Times New Roman" w:hAnsi="Times New Roman"/>
          <w:sz w:val="28"/>
          <w:szCs w:val="28"/>
        </w:rPr>
        <w:t>2</w:t>
      </w:r>
      <w:r w:rsidR="00D260EA">
        <w:rPr>
          <w:rFonts w:ascii="Times New Roman" w:hAnsi="Times New Roman"/>
          <w:sz w:val="28"/>
          <w:szCs w:val="28"/>
        </w:rPr>
        <w:t>% процента общих расходов по</w:t>
      </w:r>
      <w:proofErr w:type="gramEnd"/>
      <w:r w:rsidR="00D260EA">
        <w:rPr>
          <w:rFonts w:ascii="Times New Roman" w:hAnsi="Times New Roman"/>
          <w:sz w:val="28"/>
          <w:szCs w:val="28"/>
        </w:rPr>
        <w:t xml:space="preserve"> подпрограмме.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</w:p>
    <w:p w:rsidR="00120FF0" w:rsidRPr="00532941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Пенсионное обеспечение</w:t>
      </w:r>
      <w:r w:rsidR="007B0EB6">
        <w:rPr>
          <w:rFonts w:ascii="Times New Roman" w:hAnsi="Times New Roman"/>
          <w:sz w:val="28"/>
          <w:szCs w:val="28"/>
        </w:rPr>
        <w:t>» на 2020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7B0EB6">
        <w:rPr>
          <w:rFonts w:ascii="Times New Roman" w:hAnsi="Times New Roman"/>
          <w:sz w:val="28"/>
          <w:szCs w:val="28"/>
        </w:rPr>
        <w:t>0,0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>еское освоение составляет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941">
        <w:rPr>
          <w:rFonts w:ascii="Times New Roman" w:hAnsi="Times New Roman"/>
          <w:sz w:val="28"/>
          <w:szCs w:val="28"/>
        </w:rPr>
        <w:t xml:space="preserve">тыс. рублей или </w:t>
      </w:r>
      <w:r w:rsidR="007B0EB6">
        <w:rPr>
          <w:rFonts w:ascii="Times New Roman" w:hAnsi="Times New Roman"/>
          <w:sz w:val="28"/>
          <w:szCs w:val="28"/>
        </w:rPr>
        <w:t>0,0</w:t>
      </w:r>
      <w:r w:rsidRPr="00532941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581348">
        <w:rPr>
          <w:rFonts w:ascii="Times New Roman" w:hAnsi="Times New Roman"/>
          <w:sz w:val="28"/>
          <w:szCs w:val="28"/>
        </w:rPr>
        <w:t>низкой</w:t>
      </w:r>
      <w:r w:rsidRPr="00532941">
        <w:rPr>
          <w:rFonts w:ascii="Times New Roman" w:hAnsi="Times New Roman"/>
          <w:sz w:val="28"/>
          <w:szCs w:val="28"/>
        </w:rPr>
        <w:t>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>В целом программа «</w:t>
      </w:r>
      <w:r w:rsidR="00D260EA">
        <w:rPr>
          <w:rFonts w:ascii="Times New Roman" w:hAnsi="Times New Roman"/>
          <w:sz w:val="28"/>
          <w:szCs w:val="28"/>
        </w:rPr>
        <w:t>Муниципальная политика</w:t>
      </w:r>
      <w:r w:rsidRPr="00F601DE">
        <w:rPr>
          <w:rFonts w:ascii="Times New Roman" w:hAnsi="Times New Roman"/>
          <w:sz w:val="28"/>
          <w:szCs w:val="28"/>
        </w:rPr>
        <w:t xml:space="preserve">» признана </w:t>
      </w:r>
      <w:r w:rsidR="00581348">
        <w:rPr>
          <w:rFonts w:ascii="Times New Roman" w:hAnsi="Times New Roman"/>
          <w:sz w:val="28"/>
          <w:szCs w:val="28"/>
        </w:rPr>
        <w:t>удовлетворительной</w:t>
      </w:r>
      <w:r w:rsidRPr="00F60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5329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941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0633DE">
        <w:rPr>
          <w:rFonts w:ascii="Times New Roman" w:hAnsi="Times New Roman"/>
          <w:sz w:val="28"/>
          <w:szCs w:val="28"/>
        </w:rPr>
        <w:t>поселения»</w:t>
      </w:r>
      <w:r w:rsidR="002978EB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4E" w:rsidRDefault="00DE4C4E" w:rsidP="007F55C2">
      <w:pPr>
        <w:spacing w:after="0" w:line="240" w:lineRule="auto"/>
      </w:pPr>
      <w:r>
        <w:separator/>
      </w:r>
    </w:p>
  </w:endnote>
  <w:endnote w:type="continuationSeparator" w:id="0">
    <w:p w:rsidR="00DE4C4E" w:rsidRDefault="00DE4C4E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6E" w:rsidRPr="00FA58C4" w:rsidRDefault="0049136E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6E" w:rsidRDefault="0049136E">
    <w:pPr>
      <w:rPr>
        <w:sz w:val="2"/>
        <w:szCs w:val="2"/>
      </w:rPr>
    </w:pPr>
    <w:r w:rsidRPr="005C03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9136E" w:rsidRPr="001A207E" w:rsidRDefault="0049136E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4E" w:rsidRDefault="00DE4C4E" w:rsidP="007F55C2">
      <w:pPr>
        <w:spacing w:after="0" w:line="240" w:lineRule="auto"/>
      </w:pPr>
      <w:r>
        <w:separator/>
      </w:r>
    </w:p>
  </w:footnote>
  <w:footnote w:type="continuationSeparator" w:id="0">
    <w:p w:rsidR="00DE4C4E" w:rsidRDefault="00DE4C4E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248F8"/>
    <w:rsid w:val="00027306"/>
    <w:rsid w:val="000633DE"/>
    <w:rsid w:val="00090953"/>
    <w:rsid w:val="000946C8"/>
    <w:rsid w:val="000C4E1D"/>
    <w:rsid w:val="000D2E02"/>
    <w:rsid w:val="001030BB"/>
    <w:rsid w:val="00103139"/>
    <w:rsid w:val="0010758A"/>
    <w:rsid w:val="00115FF6"/>
    <w:rsid w:val="00120FF0"/>
    <w:rsid w:val="001445C0"/>
    <w:rsid w:val="0015178D"/>
    <w:rsid w:val="00167351"/>
    <w:rsid w:val="00167E74"/>
    <w:rsid w:val="001714B5"/>
    <w:rsid w:val="001A4A97"/>
    <w:rsid w:val="001B13E8"/>
    <w:rsid w:val="001B3655"/>
    <w:rsid w:val="001D2DD4"/>
    <w:rsid w:val="001E1622"/>
    <w:rsid w:val="001E1AEF"/>
    <w:rsid w:val="001E76CC"/>
    <w:rsid w:val="00200A05"/>
    <w:rsid w:val="00297076"/>
    <w:rsid w:val="0029768B"/>
    <w:rsid w:val="002978EB"/>
    <w:rsid w:val="002A15D0"/>
    <w:rsid w:val="002A5242"/>
    <w:rsid w:val="002E4A99"/>
    <w:rsid w:val="0030112C"/>
    <w:rsid w:val="00310195"/>
    <w:rsid w:val="0031538D"/>
    <w:rsid w:val="00360898"/>
    <w:rsid w:val="00371019"/>
    <w:rsid w:val="003828B7"/>
    <w:rsid w:val="003A23FF"/>
    <w:rsid w:val="003A7BF2"/>
    <w:rsid w:val="003C406A"/>
    <w:rsid w:val="003D2D60"/>
    <w:rsid w:val="003F0A83"/>
    <w:rsid w:val="003F549B"/>
    <w:rsid w:val="004365EA"/>
    <w:rsid w:val="004810D6"/>
    <w:rsid w:val="0049136E"/>
    <w:rsid w:val="004C771F"/>
    <w:rsid w:val="004D1E4B"/>
    <w:rsid w:val="004D6AAC"/>
    <w:rsid w:val="004F5FAC"/>
    <w:rsid w:val="00500ED9"/>
    <w:rsid w:val="00502919"/>
    <w:rsid w:val="00532941"/>
    <w:rsid w:val="0054347D"/>
    <w:rsid w:val="005552D4"/>
    <w:rsid w:val="00572580"/>
    <w:rsid w:val="00573697"/>
    <w:rsid w:val="00581348"/>
    <w:rsid w:val="0058323F"/>
    <w:rsid w:val="005A2DE7"/>
    <w:rsid w:val="005A6D5F"/>
    <w:rsid w:val="005C035A"/>
    <w:rsid w:val="005C1F25"/>
    <w:rsid w:val="005C36E5"/>
    <w:rsid w:val="00602C71"/>
    <w:rsid w:val="0060552E"/>
    <w:rsid w:val="006423EA"/>
    <w:rsid w:val="0065100F"/>
    <w:rsid w:val="006558BE"/>
    <w:rsid w:val="0067384C"/>
    <w:rsid w:val="006B16E3"/>
    <w:rsid w:val="006D1940"/>
    <w:rsid w:val="006E0158"/>
    <w:rsid w:val="006F3481"/>
    <w:rsid w:val="00716D84"/>
    <w:rsid w:val="00743B48"/>
    <w:rsid w:val="0075544E"/>
    <w:rsid w:val="00755C48"/>
    <w:rsid w:val="00787B1A"/>
    <w:rsid w:val="00787BF7"/>
    <w:rsid w:val="007A48CC"/>
    <w:rsid w:val="007B0EB6"/>
    <w:rsid w:val="007B6A6C"/>
    <w:rsid w:val="007B6DC7"/>
    <w:rsid w:val="007E67EF"/>
    <w:rsid w:val="007F3096"/>
    <w:rsid w:val="007F55C2"/>
    <w:rsid w:val="00874B70"/>
    <w:rsid w:val="008D2960"/>
    <w:rsid w:val="008D750D"/>
    <w:rsid w:val="008E14C9"/>
    <w:rsid w:val="008E4B60"/>
    <w:rsid w:val="00904365"/>
    <w:rsid w:val="009D41AA"/>
    <w:rsid w:val="009E60AA"/>
    <w:rsid w:val="00A31E7E"/>
    <w:rsid w:val="00A347C2"/>
    <w:rsid w:val="00A42BF7"/>
    <w:rsid w:val="00AB5737"/>
    <w:rsid w:val="00AD79CC"/>
    <w:rsid w:val="00B02D6A"/>
    <w:rsid w:val="00B21CEB"/>
    <w:rsid w:val="00B315D5"/>
    <w:rsid w:val="00B422E6"/>
    <w:rsid w:val="00B66691"/>
    <w:rsid w:val="00B668DA"/>
    <w:rsid w:val="00B754CE"/>
    <w:rsid w:val="00B936C2"/>
    <w:rsid w:val="00BB19A4"/>
    <w:rsid w:val="00BF159B"/>
    <w:rsid w:val="00C502BB"/>
    <w:rsid w:val="00C50A0D"/>
    <w:rsid w:val="00CD36E7"/>
    <w:rsid w:val="00CE4DAB"/>
    <w:rsid w:val="00D260EA"/>
    <w:rsid w:val="00D2646F"/>
    <w:rsid w:val="00D504C6"/>
    <w:rsid w:val="00D539B3"/>
    <w:rsid w:val="00D549F5"/>
    <w:rsid w:val="00D875BF"/>
    <w:rsid w:val="00DA6EE8"/>
    <w:rsid w:val="00DE2F62"/>
    <w:rsid w:val="00DE3B6B"/>
    <w:rsid w:val="00DE4C4E"/>
    <w:rsid w:val="00DF3A90"/>
    <w:rsid w:val="00E03BCE"/>
    <w:rsid w:val="00E16CD5"/>
    <w:rsid w:val="00E31CB0"/>
    <w:rsid w:val="00E4672F"/>
    <w:rsid w:val="00E4777C"/>
    <w:rsid w:val="00E71F4F"/>
    <w:rsid w:val="00EB03CE"/>
    <w:rsid w:val="00EB5C39"/>
    <w:rsid w:val="00EE18BA"/>
    <w:rsid w:val="00F25327"/>
    <w:rsid w:val="00F25449"/>
    <w:rsid w:val="00F50047"/>
    <w:rsid w:val="00F560BE"/>
    <w:rsid w:val="00F601DE"/>
    <w:rsid w:val="00F66F1E"/>
    <w:rsid w:val="00FC0AB9"/>
    <w:rsid w:val="00FC281B"/>
    <w:rsid w:val="00FC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94F1-B097-4C17-850D-E54ADF87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2022-07-28T08:52:00Z</cp:lastPrinted>
  <dcterms:created xsi:type="dcterms:W3CDTF">2020-04-07T08:46:00Z</dcterms:created>
  <dcterms:modified xsi:type="dcterms:W3CDTF">2022-07-28T08:52:00Z</dcterms:modified>
</cp:coreProperties>
</file>