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691F81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324927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 2021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BB6D96">
        <w:rPr>
          <w:rFonts w:ascii="Times New Roman" w:hAnsi="Times New Roman"/>
          <w:b/>
          <w:sz w:val="24"/>
          <w:szCs w:val="24"/>
        </w:rPr>
        <w:t>первое полугодие</w:t>
      </w:r>
      <w:r w:rsidR="003B3DB0">
        <w:rPr>
          <w:rFonts w:ascii="Times New Roman" w:hAnsi="Times New Roman"/>
          <w:b/>
          <w:sz w:val="24"/>
          <w:szCs w:val="24"/>
        </w:rPr>
        <w:t xml:space="preserve"> </w:t>
      </w:r>
      <w:r w:rsidR="008747DA">
        <w:rPr>
          <w:rFonts w:ascii="Times New Roman" w:hAnsi="Times New Roman"/>
          <w:b/>
          <w:sz w:val="24"/>
          <w:szCs w:val="24"/>
        </w:rPr>
        <w:t xml:space="preserve">         </w:t>
      </w:r>
      <w:r w:rsidR="00324927">
        <w:rPr>
          <w:rFonts w:ascii="Times New Roman" w:hAnsi="Times New Roman"/>
          <w:b/>
          <w:sz w:val="24"/>
          <w:szCs w:val="24"/>
        </w:rPr>
        <w:t>2021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324927">
        <w:rPr>
          <w:rFonts w:ascii="Times New Roman" w:hAnsi="Times New Roman"/>
          <w:sz w:val="28"/>
          <w:szCs w:val="28"/>
        </w:rPr>
        <w:t>первое полугодие 2021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91F81">
        <w:rPr>
          <w:rFonts w:ascii="Times New Roman" w:eastAsia="Times New Roman" w:hAnsi="Times New Roman" w:cs="Calibri"/>
          <w:sz w:val="24"/>
          <w:szCs w:val="24"/>
        </w:rPr>
        <w:t>Распоряжению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Роговского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BB6D9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24927">
        <w:rPr>
          <w:rFonts w:ascii="Times New Roman" w:eastAsia="Times New Roman" w:hAnsi="Times New Roman" w:cs="Calibri"/>
          <w:sz w:val="24"/>
          <w:szCs w:val="24"/>
        </w:rPr>
        <w:t>10.08.2021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г. № </w:t>
      </w:r>
      <w:r w:rsidR="00324927">
        <w:rPr>
          <w:rFonts w:ascii="Times New Roman" w:eastAsia="Times New Roman" w:hAnsi="Times New Roman" w:cs="Calibri"/>
          <w:sz w:val="24"/>
          <w:szCs w:val="24"/>
        </w:rPr>
        <w:t>4</w:t>
      </w:r>
      <w:r w:rsidR="00BB6D96">
        <w:rPr>
          <w:rFonts w:ascii="Times New Roman" w:eastAsia="Times New Roman" w:hAnsi="Times New Roman" w:cs="Calibri"/>
          <w:sz w:val="24"/>
          <w:szCs w:val="24"/>
        </w:rPr>
        <w:t>7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B6D96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324927">
        <w:rPr>
          <w:rFonts w:ascii="Times New Roman" w:hAnsi="Times New Roman" w:cs="Times New Roman"/>
          <w:sz w:val="24"/>
          <w:szCs w:val="24"/>
        </w:rPr>
        <w:t>21</w:t>
      </w:r>
      <w:r w:rsidR="00BB6D96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16,8                                              </w:t>
            </w:r>
          </w:p>
        </w:tc>
        <w:tc>
          <w:tcPr>
            <w:tcW w:w="1700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8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  <w:r w:rsidR="00B80636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17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17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0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8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13,2 </w:t>
            </w:r>
            <w:r w:rsidR="00303637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</w:t>
            </w:r>
            <w:r w:rsidRPr="00C6616A">
              <w:rPr>
                <w:rFonts w:ascii="Times New Roman" w:hAnsi="Times New Roman" w:cs="Times New Roman"/>
              </w:rPr>
              <w:lastRenderedPageBreak/>
              <w:t>Роговском 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17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9A041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700" w:type="dxa"/>
          </w:tcPr>
          <w:p w:rsidR="00303637" w:rsidRPr="00C6616A" w:rsidRDefault="009A0414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993" w:type="dxa"/>
          </w:tcPr>
          <w:p w:rsidR="00303637" w:rsidRPr="00C6616A" w:rsidRDefault="009A0414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58" w:type="dxa"/>
          </w:tcPr>
          <w:p w:rsidR="00303637" w:rsidRPr="00C6616A" w:rsidRDefault="009A041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DC1112" w:rsidRPr="00C6616A" w:rsidRDefault="00DC1112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A0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C1112" w:rsidRPr="00C6616A" w:rsidRDefault="009A0414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9A0414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700" w:type="dxa"/>
          </w:tcPr>
          <w:p w:rsidR="00DC1112" w:rsidRPr="00C6616A" w:rsidRDefault="009A0414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993" w:type="dxa"/>
          </w:tcPr>
          <w:p w:rsidR="00DC1112" w:rsidRPr="00C6616A" w:rsidRDefault="009A0414" w:rsidP="00C15F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58" w:type="dxa"/>
          </w:tcPr>
          <w:p w:rsidR="00DC1112" w:rsidRPr="00C6616A" w:rsidRDefault="009A0414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471,1 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8842E1">
              <w:rPr>
                <w:rFonts w:ascii="Times New Roman" w:hAnsi="Times New Roman" w:cs="Times New Roman"/>
              </w:rPr>
              <w:t xml:space="preserve"> </w:t>
            </w:r>
            <w:r w:rsidR="00DC1112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1F6B0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4346D1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  <w:p w:rsidR="00DC1112" w:rsidRPr="004346D1" w:rsidRDefault="00DC1112" w:rsidP="004346D1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C1112" w:rsidRPr="00C6616A" w:rsidRDefault="009A041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403207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4131,8</w:t>
            </w:r>
          </w:p>
        </w:tc>
        <w:tc>
          <w:tcPr>
            <w:tcW w:w="1700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4131,8</w:t>
            </w:r>
          </w:p>
        </w:tc>
        <w:tc>
          <w:tcPr>
            <w:tcW w:w="993" w:type="dxa"/>
          </w:tcPr>
          <w:p w:rsidR="00891BCC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1818,5</w:t>
            </w:r>
          </w:p>
          <w:p w:rsidR="00403207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03207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2313,3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Отсутствие просроченно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43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10C25" w:rsidRPr="00C6616A" w:rsidRDefault="00010C25" w:rsidP="0040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40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3319,3</w:t>
            </w:r>
          </w:p>
        </w:tc>
        <w:tc>
          <w:tcPr>
            <w:tcW w:w="1700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3319,3</w:t>
            </w:r>
          </w:p>
        </w:tc>
        <w:tc>
          <w:tcPr>
            <w:tcW w:w="993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1570,9</w:t>
            </w:r>
          </w:p>
        </w:tc>
        <w:tc>
          <w:tcPr>
            <w:tcW w:w="1558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1748,4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</w:t>
            </w:r>
            <w:r w:rsidR="00A6567B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691,5</w:t>
            </w:r>
          </w:p>
        </w:tc>
        <w:tc>
          <w:tcPr>
            <w:tcW w:w="1700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691,5</w:t>
            </w:r>
          </w:p>
        </w:tc>
        <w:tc>
          <w:tcPr>
            <w:tcW w:w="993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558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452,4 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91BCC" w:rsidRPr="00C6616A" w:rsidRDefault="00953E3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700" w:type="dxa"/>
          </w:tcPr>
          <w:p w:rsidR="00891BCC" w:rsidRPr="00C6616A" w:rsidRDefault="00953E3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891BCC" w:rsidRPr="00C6616A" w:rsidRDefault="00953E3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Отсутствие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B73878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01.01.21</w:t>
            </w:r>
            <w:r w:rsidR="00BB6D9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0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8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953E33" w:rsidRPr="00C6616A" w:rsidTr="00DC2580">
        <w:trPr>
          <w:tblCellSpacing w:w="5" w:type="nil"/>
        </w:trPr>
        <w:tc>
          <w:tcPr>
            <w:tcW w:w="426" w:type="dxa"/>
          </w:tcPr>
          <w:p w:rsidR="00953E33" w:rsidRPr="00C6616A" w:rsidRDefault="00953E33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953E33" w:rsidRDefault="00953E33" w:rsidP="00891BCC">
            <w:pPr>
              <w:pStyle w:val="ConsPlusCell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3.6</w:t>
            </w:r>
            <w:r w:rsidRPr="00C6616A">
              <w:rPr>
                <w:rFonts w:ascii="Times New Roman" w:hAnsi="Times New Roman"/>
                <w:kern w:val="2"/>
              </w:rPr>
              <w:t>.</w:t>
            </w:r>
          </w:p>
          <w:p w:rsidR="00953E33" w:rsidRPr="00C6616A" w:rsidRDefault="00953E33" w:rsidP="00891B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изготовлению (приобретению)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2268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953E33" w:rsidRPr="00953E33" w:rsidRDefault="00953E33" w:rsidP="00953E3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E33">
              <w:rPr>
                <w:rFonts w:ascii="Times New Roman" w:hAnsi="Times New Roman" w:cs="Times New Roman"/>
                <w:color w:val="323232"/>
                <w:shd w:val="clear" w:color="auto" w:fill="FFFFFF"/>
              </w:rPr>
              <w:t>упорядочение хозяйственной отчетности</w:t>
            </w:r>
          </w:p>
        </w:tc>
        <w:tc>
          <w:tcPr>
            <w:tcW w:w="993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</w:tcPr>
          <w:p w:rsidR="00953E33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843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00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</w:tcPr>
          <w:p w:rsidR="00953E33" w:rsidRPr="00C6616A" w:rsidRDefault="00953E33" w:rsidP="004346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434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953E33" w:rsidRPr="00C6616A" w:rsidRDefault="004346D1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ублей, за счет округления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5212C4" w:rsidRDefault="005212C4" w:rsidP="00953E33">
            <w:pPr>
              <w:pStyle w:val="ConsPlusCell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3.6</w:t>
            </w:r>
            <w:r w:rsidRPr="00C6616A">
              <w:rPr>
                <w:rFonts w:ascii="Times New Roman" w:hAnsi="Times New Roman"/>
                <w:kern w:val="2"/>
              </w:rPr>
              <w:t>.</w:t>
            </w:r>
          </w:p>
          <w:p w:rsidR="005212C4" w:rsidRPr="00C6616A" w:rsidRDefault="005212C4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0B050C">
              <w:rPr>
                <w:rFonts w:ascii="Times New Roman" w:hAnsi="Times New Roman"/>
                <w:sz w:val="24"/>
                <w:szCs w:val="24"/>
              </w:rPr>
              <w:t xml:space="preserve">Организация официального размещения (опубликования) </w:t>
            </w:r>
            <w:r w:rsidRPr="000B050C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2268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финансов </w:t>
            </w:r>
            <w:proofErr w:type="spellStart"/>
            <w:r w:rsidRPr="00C6616A">
              <w:rPr>
                <w:rFonts w:ascii="Times New Roman" w:hAnsi="Times New Roman" w:cs="Times New Roman"/>
                <w:kern w:val="2"/>
              </w:rPr>
              <w:t>Однороб</w:t>
            </w:r>
            <w:proofErr w:type="spellEnd"/>
            <w:r w:rsidRPr="00C6616A">
              <w:rPr>
                <w:rFonts w:ascii="Times New Roman" w:hAnsi="Times New Roman" w:cs="Times New Roman"/>
                <w:kern w:val="2"/>
              </w:rPr>
              <w:t xml:space="preserve"> О.Л.</w:t>
            </w:r>
          </w:p>
        </w:tc>
        <w:tc>
          <w:tcPr>
            <w:tcW w:w="1417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Оповещение населения поселения о деятельности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органа местного самоуправления</w:t>
            </w:r>
          </w:p>
        </w:tc>
        <w:tc>
          <w:tcPr>
            <w:tcW w:w="993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559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843" w:type="dxa"/>
          </w:tcPr>
          <w:p w:rsidR="005212C4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700" w:type="dxa"/>
          </w:tcPr>
          <w:p w:rsidR="005212C4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93" w:type="dxa"/>
          </w:tcPr>
          <w:p w:rsidR="005212C4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212C4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  тыс. руб.</w:t>
            </w:r>
            <w:r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5212C4" w:rsidRPr="00C6616A" w:rsidRDefault="005212C4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3.1</w:t>
            </w:r>
          </w:p>
        </w:tc>
        <w:tc>
          <w:tcPr>
            <w:tcW w:w="2268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B73878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  <w:vMerge w:val="restart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6616A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4346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1700" w:type="dxa"/>
          </w:tcPr>
          <w:p w:rsidR="005212C4" w:rsidRPr="00C6616A" w:rsidRDefault="004346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993" w:type="dxa"/>
          </w:tcPr>
          <w:p w:rsidR="005212C4" w:rsidRPr="00C6616A" w:rsidRDefault="004346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2211,7</w:t>
            </w:r>
          </w:p>
        </w:tc>
        <w:tc>
          <w:tcPr>
            <w:tcW w:w="1558" w:type="dxa"/>
          </w:tcPr>
          <w:p w:rsidR="005212C4" w:rsidRPr="00C6616A" w:rsidRDefault="004346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2797,6 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  <w:vMerge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4346D1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1700" w:type="dxa"/>
          </w:tcPr>
          <w:p w:rsidR="005212C4" w:rsidRPr="00C6616A" w:rsidRDefault="004346D1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993" w:type="dxa"/>
          </w:tcPr>
          <w:p w:rsidR="005212C4" w:rsidRPr="00C6616A" w:rsidRDefault="004346D1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2211,7</w:t>
            </w:r>
          </w:p>
        </w:tc>
        <w:tc>
          <w:tcPr>
            <w:tcW w:w="1558" w:type="dxa"/>
          </w:tcPr>
          <w:p w:rsidR="005212C4" w:rsidRPr="00C6616A" w:rsidRDefault="004346D1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2797,6 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186340">
        <w:rPr>
          <w:rFonts w:ascii="Times New Roman" w:hAnsi="Times New Roman"/>
          <w:sz w:val="32"/>
          <w:szCs w:val="32"/>
        </w:rPr>
        <w:t>первого полугодия  202</w:t>
      </w:r>
      <w:r w:rsidR="00B73878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5009,3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 202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2211,7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44,2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73878">
        <w:rPr>
          <w:rFonts w:ascii="Times New Roman" w:hAnsi="Times New Roman"/>
          <w:sz w:val="28"/>
          <w:szCs w:val="28"/>
        </w:rPr>
        <w:t>1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B73878">
        <w:rPr>
          <w:rFonts w:ascii="Times New Roman" w:hAnsi="Times New Roman"/>
          <w:sz w:val="28"/>
          <w:szCs w:val="28"/>
        </w:rPr>
        <w:t>16,8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73878">
        <w:rPr>
          <w:rFonts w:ascii="Times New Roman" w:hAnsi="Times New Roman"/>
          <w:sz w:val="28"/>
          <w:szCs w:val="28"/>
        </w:rPr>
        <w:t>3,6</w:t>
      </w:r>
      <w:r w:rsidR="00B8063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73878">
        <w:rPr>
          <w:rFonts w:ascii="Times New Roman" w:hAnsi="Times New Roman"/>
          <w:sz w:val="28"/>
          <w:szCs w:val="28"/>
        </w:rPr>
        <w:t xml:space="preserve">21,4 </w:t>
      </w:r>
      <w:r w:rsidR="00B80636">
        <w:rPr>
          <w:rFonts w:ascii="Times New Roman" w:hAnsi="Times New Roman"/>
          <w:sz w:val="28"/>
          <w:szCs w:val="28"/>
        </w:rPr>
        <w:t xml:space="preserve"> процента плановых назн</w:t>
      </w:r>
      <w:r w:rsidR="00B73878">
        <w:rPr>
          <w:rFonts w:ascii="Times New Roman" w:hAnsi="Times New Roman"/>
          <w:sz w:val="28"/>
          <w:szCs w:val="28"/>
        </w:rPr>
        <w:t>а</w:t>
      </w:r>
      <w:r w:rsidR="00B80636">
        <w:rPr>
          <w:rFonts w:ascii="Times New Roman" w:hAnsi="Times New Roman"/>
          <w:sz w:val="28"/>
          <w:szCs w:val="28"/>
        </w:rPr>
        <w:t>чений.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73878">
        <w:rPr>
          <w:rFonts w:ascii="Times New Roman" w:hAnsi="Times New Roman"/>
          <w:sz w:val="28"/>
          <w:szCs w:val="28"/>
        </w:rPr>
        <w:t>1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B73878">
        <w:rPr>
          <w:rFonts w:ascii="Times New Roman" w:hAnsi="Times New Roman"/>
          <w:sz w:val="28"/>
          <w:szCs w:val="28"/>
        </w:rPr>
        <w:t>860,7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73878">
        <w:rPr>
          <w:rFonts w:ascii="Times New Roman" w:hAnsi="Times New Roman"/>
          <w:sz w:val="28"/>
          <w:szCs w:val="28"/>
        </w:rPr>
        <w:t>389,6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73878">
        <w:rPr>
          <w:rFonts w:ascii="Times New Roman" w:hAnsi="Times New Roman"/>
          <w:sz w:val="28"/>
          <w:szCs w:val="28"/>
        </w:rPr>
        <w:t>45,3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73878">
        <w:rPr>
          <w:rFonts w:ascii="Times New Roman" w:hAnsi="Times New Roman"/>
          <w:sz w:val="28"/>
          <w:szCs w:val="28"/>
        </w:rPr>
        <w:t>1 год составляет 4131,8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73878">
        <w:rPr>
          <w:rFonts w:ascii="Times New Roman" w:hAnsi="Times New Roman"/>
          <w:sz w:val="28"/>
          <w:szCs w:val="28"/>
        </w:rPr>
        <w:t>1818,5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73878">
        <w:rPr>
          <w:rFonts w:ascii="Times New Roman" w:hAnsi="Times New Roman"/>
          <w:sz w:val="28"/>
          <w:szCs w:val="28"/>
        </w:rPr>
        <w:t>44,0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 xml:space="preserve"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>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97" w:rsidRDefault="00BE4E97" w:rsidP="008A1698">
      <w:pPr>
        <w:spacing w:after="0" w:line="240" w:lineRule="auto"/>
      </w:pPr>
      <w:r>
        <w:separator/>
      </w:r>
    </w:p>
  </w:endnote>
  <w:endnote w:type="continuationSeparator" w:id="0">
    <w:p w:rsidR="00BE4E97" w:rsidRDefault="00BE4E97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BE4E97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97" w:rsidRDefault="00BE4E97" w:rsidP="008A1698">
      <w:pPr>
        <w:spacing w:after="0" w:line="240" w:lineRule="auto"/>
      </w:pPr>
      <w:r>
        <w:separator/>
      </w:r>
    </w:p>
  </w:footnote>
  <w:footnote w:type="continuationSeparator" w:id="0">
    <w:p w:rsidR="00BE4E97" w:rsidRDefault="00BE4E97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7B48"/>
    <w:rsid w:val="00010C25"/>
    <w:rsid w:val="00017313"/>
    <w:rsid w:val="000248F8"/>
    <w:rsid w:val="000773E2"/>
    <w:rsid w:val="00085D17"/>
    <w:rsid w:val="000C4E1D"/>
    <w:rsid w:val="000D4793"/>
    <w:rsid w:val="000E343C"/>
    <w:rsid w:val="001330F4"/>
    <w:rsid w:val="00186340"/>
    <w:rsid w:val="001A3A31"/>
    <w:rsid w:val="001E1AEF"/>
    <w:rsid w:val="001E4B42"/>
    <w:rsid w:val="001F6B0C"/>
    <w:rsid w:val="0029768B"/>
    <w:rsid w:val="002D6C41"/>
    <w:rsid w:val="00303637"/>
    <w:rsid w:val="00324927"/>
    <w:rsid w:val="0034373F"/>
    <w:rsid w:val="003B3DB0"/>
    <w:rsid w:val="00403207"/>
    <w:rsid w:val="004346D1"/>
    <w:rsid w:val="00450722"/>
    <w:rsid w:val="00455056"/>
    <w:rsid w:val="00455A7D"/>
    <w:rsid w:val="00486096"/>
    <w:rsid w:val="004B668D"/>
    <w:rsid w:val="004D189E"/>
    <w:rsid w:val="004D3D38"/>
    <w:rsid w:val="004D683C"/>
    <w:rsid w:val="004F6419"/>
    <w:rsid w:val="005212C4"/>
    <w:rsid w:val="00575F4F"/>
    <w:rsid w:val="0060552E"/>
    <w:rsid w:val="006350E4"/>
    <w:rsid w:val="006634EB"/>
    <w:rsid w:val="00691F81"/>
    <w:rsid w:val="0069697A"/>
    <w:rsid w:val="006A58BA"/>
    <w:rsid w:val="0072541F"/>
    <w:rsid w:val="0075264D"/>
    <w:rsid w:val="0075544E"/>
    <w:rsid w:val="007F3096"/>
    <w:rsid w:val="008747DA"/>
    <w:rsid w:val="00883B1C"/>
    <w:rsid w:val="008842E1"/>
    <w:rsid w:val="00891BCC"/>
    <w:rsid w:val="008939C6"/>
    <w:rsid w:val="008A1698"/>
    <w:rsid w:val="008D750D"/>
    <w:rsid w:val="0091196E"/>
    <w:rsid w:val="00953E33"/>
    <w:rsid w:val="009A0414"/>
    <w:rsid w:val="00A2553A"/>
    <w:rsid w:val="00A347C2"/>
    <w:rsid w:val="00A6567B"/>
    <w:rsid w:val="00A837AA"/>
    <w:rsid w:val="00AA70CD"/>
    <w:rsid w:val="00AB1909"/>
    <w:rsid w:val="00B73878"/>
    <w:rsid w:val="00B80636"/>
    <w:rsid w:val="00BB6D96"/>
    <w:rsid w:val="00BE4E97"/>
    <w:rsid w:val="00C6616A"/>
    <w:rsid w:val="00CA70E8"/>
    <w:rsid w:val="00CB47F1"/>
    <w:rsid w:val="00CC040A"/>
    <w:rsid w:val="00D203FE"/>
    <w:rsid w:val="00D418C1"/>
    <w:rsid w:val="00D549F5"/>
    <w:rsid w:val="00D92DB4"/>
    <w:rsid w:val="00DB2A70"/>
    <w:rsid w:val="00DC1112"/>
    <w:rsid w:val="00DF7143"/>
    <w:rsid w:val="00E20887"/>
    <w:rsid w:val="00E6693D"/>
    <w:rsid w:val="00E9781C"/>
    <w:rsid w:val="00EB03CE"/>
    <w:rsid w:val="00ED4887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3422-F2E6-4CB4-A694-EBB6FCF3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2022-04-11T08:59:00Z</cp:lastPrinted>
  <dcterms:created xsi:type="dcterms:W3CDTF">2020-09-14T11:59:00Z</dcterms:created>
  <dcterms:modified xsi:type="dcterms:W3CDTF">2022-04-11T09:01:00Z</dcterms:modified>
</cp:coreProperties>
</file>