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2270C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82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2270CD">
        <w:rPr>
          <w:rFonts w:ascii="Times New Roman" w:hAnsi="Times New Roman"/>
          <w:b/>
          <w:sz w:val="28"/>
          <w:szCs w:val="28"/>
        </w:rPr>
        <w:t xml:space="preserve"> за первое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2270CD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270CD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2270CD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2270CD">
        <w:rPr>
          <w:rFonts w:ascii="Times New Roman" w:eastAsia="Times New Roman" w:hAnsi="Times New Roman" w:cs="Calibri"/>
          <w:sz w:val="24"/>
          <w:szCs w:val="24"/>
        </w:rPr>
        <w:t>82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2270CD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</w:t>
            </w:r>
            <w:r w:rsidR="002270C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0" w:type="dxa"/>
          </w:tcPr>
          <w:p w:rsidR="007C24DF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</w:t>
            </w:r>
            <w:r w:rsidR="002270C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7C24DF" w:rsidRPr="00303637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  <w:r w:rsidR="002270C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58" w:type="dxa"/>
          </w:tcPr>
          <w:p w:rsidR="00F8058B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  <w:r w:rsidR="002270CD">
              <w:rPr>
                <w:rFonts w:ascii="Times New Roman" w:hAnsi="Times New Roman" w:cs="Times New Roman"/>
              </w:rPr>
              <w:t>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AC7E2D" w:rsidRPr="00913394" w:rsidRDefault="002270C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740,4</w:t>
            </w:r>
          </w:p>
        </w:tc>
        <w:tc>
          <w:tcPr>
            <w:tcW w:w="1700" w:type="dxa"/>
          </w:tcPr>
          <w:p w:rsidR="00AC7E2D" w:rsidRPr="00913394" w:rsidRDefault="002270CD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740,4</w:t>
            </w:r>
          </w:p>
        </w:tc>
        <w:tc>
          <w:tcPr>
            <w:tcW w:w="993" w:type="dxa"/>
          </w:tcPr>
          <w:p w:rsidR="00AC7E2D" w:rsidRPr="00913394" w:rsidRDefault="002270C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192,8</w:t>
            </w:r>
          </w:p>
        </w:tc>
        <w:tc>
          <w:tcPr>
            <w:tcW w:w="1558" w:type="dxa"/>
          </w:tcPr>
          <w:p w:rsidR="00AC7E2D" w:rsidRPr="00913394" w:rsidRDefault="002270C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547,6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574A3" w:rsidRPr="00F37829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574A3" w:rsidRDefault="002574A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AC7E2D" w:rsidRDefault="002574A3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1700" w:type="dxa"/>
          </w:tcPr>
          <w:p w:rsidR="002574A3" w:rsidRPr="00913394" w:rsidRDefault="002574A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93" w:type="dxa"/>
          </w:tcPr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558" w:type="dxa"/>
          </w:tcPr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45,2</w:t>
            </w:r>
          </w:p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574A3" w:rsidRPr="00F37829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2574A3" w:rsidRDefault="002574A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AC7E2D" w:rsidRDefault="002574A3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1700" w:type="dxa"/>
          </w:tcPr>
          <w:p w:rsidR="002574A3" w:rsidRPr="00913394" w:rsidRDefault="002574A3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93" w:type="dxa"/>
          </w:tcPr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22,4</w:t>
            </w:r>
          </w:p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2574A3" w:rsidRPr="00F37829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2574A3" w:rsidRDefault="002574A3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AC7E2D" w:rsidRDefault="002574A3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700" w:type="dxa"/>
          </w:tcPr>
          <w:p w:rsidR="002574A3" w:rsidRPr="00913394" w:rsidRDefault="002574A3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993" w:type="dxa"/>
          </w:tcPr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574A3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:rsidR="002574A3" w:rsidRPr="00913394" w:rsidRDefault="002574A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2574A3" w:rsidRPr="00F37829" w:rsidRDefault="002574A3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2574A3" w:rsidRDefault="002574A3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AC7E2D" w:rsidRDefault="002574A3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601,0</w:t>
            </w:r>
          </w:p>
        </w:tc>
        <w:tc>
          <w:tcPr>
            <w:tcW w:w="1700" w:type="dxa"/>
          </w:tcPr>
          <w:p w:rsidR="002574A3" w:rsidRPr="00913394" w:rsidRDefault="002574A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601,0</w:t>
            </w:r>
          </w:p>
        </w:tc>
        <w:tc>
          <w:tcPr>
            <w:tcW w:w="993" w:type="dxa"/>
          </w:tcPr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558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295,2</w:t>
            </w:r>
          </w:p>
          <w:p w:rsidR="002574A3" w:rsidRPr="00913394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8518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  <w:p w:rsidR="002574A3" w:rsidRPr="00610518" w:rsidRDefault="002574A3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2574A3" w:rsidRPr="00303637" w:rsidRDefault="002574A3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74A3" w:rsidRDefault="002574A3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2574A3" w:rsidRDefault="002574A3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2574A3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2574A3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700" w:type="dxa"/>
          </w:tcPr>
          <w:p w:rsidR="002574A3" w:rsidRDefault="002574A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993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574A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Default="002574A3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2574A3" w:rsidRDefault="002574A3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2574A3" w:rsidRPr="00303637" w:rsidRDefault="002574A3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74A3" w:rsidRDefault="002574A3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Default="002574A3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0" w:type="dxa"/>
          </w:tcPr>
          <w:p w:rsidR="002574A3" w:rsidRDefault="002574A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8" w:type="dxa"/>
          </w:tcPr>
          <w:p w:rsidR="002574A3" w:rsidRDefault="002574A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518A8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58" w:type="dxa"/>
          </w:tcPr>
          <w:p w:rsidR="008518A8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574A3" w:rsidRPr="00CF1838" w:rsidTr="006F57C6">
        <w:trPr>
          <w:tblCellSpacing w:w="5" w:type="nil"/>
        </w:trPr>
        <w:tc>
          <w:tcPr>
            <w:tcW w:w="426" w:type="dxa"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4A3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574A3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574A3" w:rsidRPr="00F37829" w:rsidRDefault="00D9263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74A3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2574A3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574A3" w:rsidRDefault="002574A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574A3" w:rsidRPr="00AC7E2D" w:rsidRDefault="002574A3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2574A3" w:rsidRDefault="002574A3" w:rsidP="009118C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2574A3" w:rsidRPr="00303637" w:rsidRDefault="002574A3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700" w:type="dxa"/>
          </w:tcPr>
          <w:p w:rsidR="002574A3" w:rsidRPr="00303637" w:rsidRDefault="002574A3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</w:tcPr>
          <w:p w:rsidR="002574A3" w:rsidRPr="00303637" w:rsidRDefault="002574A3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58" w:type="dxa"/>
          </w:tcPr>
          <w:p w:rsidR="002574A3" w:rsidRDefault="002574A3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  <w:p w:rsidR="002574A3" w:rsidRPr="00303637" w:rsidRDefault="002574A3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518A8" w:rsidRPr="00CF1838" w:rsidTr="00AF4A5B">
        <w:trPr>
          <w:trHeight w:val="1711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518A8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1606,1</w:t>
            </w:r>
          </w:p>
        </w:tc>
        <w:tc>
          <w:tcPr>
            <w:tcW w:w="1700" w:type="dxa"/>
          </w:tcPr>
          <w:p w:rsidR="008518A8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1606,1</w:t>
            </w:r>
          </w:p>
        </w:tc>
        <w:tc>
          <w:tcPr>
            <w:tcW w:w="993" w:type="dxa"/>
          </w:tcPr>
          <w:p w:rsidR="008518A8" w:rsidRPr="00303637" w:rsidRDefault="002574A3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523,7</w:t>
            </w:r>
          </w:p>
        </w:tc>
        <w:tc>
          <w:tcPr>
            <w:tcW w:w="1558" w:type="dxa"/>
          </w:tcPr>
          <w:p w:rsidR="008518A8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1082,4</w:t>
            </w:r>
          </w:p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574A3" w:rsidRPr="00CF1838" w:rsidTr="006F57C6">
        <w:trPr>
          <w:tblCellSpacing w:w="5" w:type="nil"/>
        </w:trPr>
        <w:tc>
          <w:tcPr>
            <w:tcW w:w="426" w:type="dxa"/>
            <w:vMerge/>
          </w:tcPr>
          <w:p w:rsidR="002574A3" w:rsidRPr="00CF1838" w:rsidRDefault="002574A3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4A3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74A3" w:rsidRPr="00303637" w:rsidRDefault="002574A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2574A3" w:rsidRPr="00303637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574A3" w:rsidRPr="00303637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574A3" w:rsidRPr="00303637" w:rsidRDefault="002574A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574A3" w:rsidRPr="00303637" w:rsidRDefault="002574A3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1606,1</w:t>
            </w:r>
          </w:p>
        </w:tc>
        <w:tc>
          <w:tcPr>
            <w:tcW w:w="1700" w:type="dxa"/>
          </w:tcPr>
          <w:p w:rsidR="002574A3" w:rsidRPr="00303637" w:rsidRDefault="002574A3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1606,1</w:t>
            </w:r>
          </w:p>
        </w:tc>
        <w:tc>
          <w:tcPr>
            <w:tcW w:w="993" w:type="dxa"/>
          </w:tcPr>
          <w:p w:rsidR="002574A3" w:rsidRPr="00303637" w:rsidRDefault="002574A3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523,7</w:t>
            </w:r>
          </w:p>
        </w:tc>
        <w:tc>
          <w:tcPr>
            <w:tcW w:w="1558" w:type="dxa"/>
          </w:tcPr>
          <w:p w:rsidR="002574A3" w:rsidRDefault="002574A3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1082,4</w:t>
            </w:r>
          </w:p>
          <w:p w:rsidR="002574A3" w:rsidRPr="00303637" w:rsidRDefault="002574A3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844097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2574A3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2574A3">
        <w:rPr>
          <w:rFonts w:ascii="Times New Roman" w:eastAsia="Times New Roman" w:hAnsi="Times New Roman"/>
          <w:sz w:val="28"/>
          <w:szCs w:val="28"/>
          <w:lang w:eastAsia="ru-RU"/>
        </w:rPr>
        <w:t>1606,1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2574A3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2574A3">
        <w:rPr>
          <w:rFonts w:ascii="Times New Roman" w:eastAsia="Times New Roman" w:hAnsi="Times New Roman"/>
          <w:sz w:val="28"/>
          <w:szCs w:val="28"/>
          <w:lang w:eastAsia="ru-RU"/>
        </w:rPr>
        <w:t>523,7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574A3">
        <w:rPr>
          <w:rFonts w:ascii="Times New Roman" w:eastAsia="Times New Roman" w:hAnsi="Times New Roman"/>
          <w:sz w:val="28"/>
          <w:szCs w:val="28"/>
          <w:lang w:eastAsia="ru-RU"/>
        </w:rPr>
        <w:t>32,6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513D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513D8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F513D8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513D8">
        <w:rPr>
          <w:rFonts w:ascii="Times New Roman" w:hAnsi="Times New Roman"/>
          <w:sz w:val="28"/>
          <w:szCs w:val="28"/>
        </w:rPr>
        <w:t>1581,3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513D8">
        <w:rPr>
          <w:rFonts w:ascii="Times New Roman" w:hAnsi="Times New Roman"/>
          <w:sz w:val="28"/>
          <w:szCs w:val="28"/>
        </w:rPr>
        <w:t>511,3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513D8">
        <w:rPr>
          <w:rFonts w:ascii="Times New Roman" w:hAnsi="Times New Roman"/>
          <w:sz w:val="28"/>
          <w:szCs w:val="28"/>
        </w:rPr>
        <w:t>32,3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F513D8">
        <w:rPr>
          <w:rFonts w:ascii="Times New Roman" w:hAnsi="Times New Roman"/>
          <w:sz w:val="28"/>
          <w:szCs w:val="28"/>
        </w:rPr>
        <w:t>24,8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513D8">
        <w:rPr>
          <w:rFonts w:ascii="Times New Roman" w:hAnsi="Times New Roman"/>
          <w:sz w:val="28"/>
          <w:szCs w:val="28"/>
        </w:rPr>
        <w:t>12,4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F513D8">
        <w:rPr>
          <w:rFonts w:ascii="Times New Roman" w:hAnsi="Times New Roman"/>
          <w:sz w:val="28"/>
          <w:szCs w:val="28"/>
        </w:rPr>
        <w:t>50,0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5E" w:rsidRDefault="0091725E" w:rsidP="008A1698">
      <w:pPr>
        <w:spacing w:after="0" w:line="240" w:lineRule="auto"/>
      </w:pPr>
      <w:r>
        <w:separator/>
      </w:r>
    </w:p>
  </w:endnote>
  <w:endnote w:type="continuationSeparator" w:id="1">
    <w:p w:rsidR="0091725E" w:rsidRDefault="0091725E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91725E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5E" w:rsidRDefault="0091725E" w:rsidP="008A1698">
      <w:pPr>
        <w:spacing w:after="0" w:line="240" w:lineRule="auto"/>
      </w:pPr>
      <w:r>
        <w:separator/>
      </w:r>
    </w:p>
  </w:footnote>
  <w:footnote w:type="continuationSeparator" w:id="1">
    <w:p w:rsidR="0091725E" w:rsidRDefault="0091725E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FA"/>
    <w:rsid w:val="000B2BF1"/>
    <w:rsid w:val="000C4E1D"/>
    <w:rsid w:val="000E343C"/>
    <w:rsid w:val="00163B73"/>
    <w:rsid w:val="00192809"/>
    <w:rsid w:val="001D4958"/>
    <w:rsid w:val="001E1AEF"/>
    <w:rsid w:val="002270CD"/>
    <w:rsid w:val="002574A3"/>
    <w:rsid w:val="002721B7"/>
    <w:rsid w:val="0029768B"/>
    <w:rsid w:val="002D38D9"/>
    <w:rsid w:val="00303637"/>
    <w:rsid w:val="0034373F"/>
    <w:rsid w:val="00372958"/>
    <w:rsid w:val="003A21AA"/>
    <w:rsid w:val="003B3DB0"/>
    <w:rsid w:val="003C0458"/>
    <w:rsid w:val="00441325"/>
    <w:rsid w:val="004560DB"/>
    <w:rsid w:val="004653F1"/>
    <w:rsid w:val="00474F17"/>
    <w:rsid w:val="004D09F1"/>
    <w:rsid w:val="004D5089"/>
    <w:rsid w:val="00543988"/>
    <w:rsid w:val="00551AE5"/>
    <w:rsid w:val="005753E6"/>
    <w:rsid w:val="005A7920"/>
    <w:rsid w:val="005E7F56"/>
    <w:rsid w:val="0060552E"/>
    <w:rsid w:val="0065414C"/>
    <w:rsid w:val="006F57C6"/>
    <w:rsid w:val="0075264D"/>
    <w:rsid w:val="0075544E"/>
    <w:rsid w:val="007602D2"/>
    <w:rsid w:val="0078737E"/>
    <w:rsid w:val="007C24DF"/>
    <w:rsid w:val="007F3096"/>
    <w:rsid w:val="008247D3"/>
    <w:rsid w:val="00844097"/>
    <w:rsid w:val="008518A8"/>
    <w:rsid w:val="00883B1C"/>
    <w:rsid w:val="008A1698"/>
    <w:rsid w:val="008D750D"/>
    <w:rsid w:val="00913394"/>
    <w:rsid w:val="0091725E"/>
    <w:rsid w:val="00926CBE"/>
    <w:rsid w:val="00A161E8"/>
    <w:rsid w:val="00A347C2"/>
    <w:rsid w:val="00A767D1"/>
    <w:rsid w:val="00AC7E2D"/>
    <w:rsid w:val="00AF4A5B"/>
    <w:rsid w:val="00B9263A"/>
    <w:rsid w:val="00BA6862"/>
    <w:rsid w:val="00BB40E2"/>
    <w:rsid w:val="00D203FE"/>
    <w:rsid w:val="00D549F5"/>
    <w:rsid w:val="00D9263A"/>
    <w:rsid w:val="00DB2A70"/>
    <w:rsid w:val="00DD1E0E"/>
    <w:rsid w:val="00E03E6E"/>
    <w:rsid w:val="00EB03CE"/>
    <w:rsid w:val="00F2786E"/>
    <w:rsid w:val="00F37829"/>
    <w:rsid w:val="00F50047"/>
    <w:rsid w:val="00F513D8"/>
    <w:rsid w:val="00F8058B"/>
    <w:rsid w:val="00F92AE4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2020-08-13T09:38:00Z</cp:lastPrinted>
  <dcterms:created xsi:type="dcterms:W3CDTF">2019-08-07T06:38:00Z</dcterms:created>
  <dcterms:modified xsi:type="dcterms:W3CDTF">2020-08-13T09:56:00Z</dcterms:modified>
</cp:coreProperties>
</file>