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8842E1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 w:rsidR="008939C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133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8842E1">
        <w:rPr>
          <w:rFonts w:ascii="Times New Roman" w:hAnsi="Times New Roman"/>
          <w:b/>
          <w:sz w:val="24"/>
          <w:szCs w:val="24"/>
        </w:rPr>
        <w:t>девять месяцев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8747DA">
        <w:rPr>
          <w:rFonts w:ascii="Times New Roman" w:hAnsi="Times New Roman"/>
          <w:b/>
          <w:sz w:val="24"/>
          <w:szCs w:val="24"/>
        </w:rPr>
        <w:t xml:space="preserve">         </w:t>
      </w:r>
      <w:r w:rsidR="003B3DB0">
        <w:rPr>
          <w:rFonts w:ascii="Times New Roman" w:hAnsi="Times New Roman"/>
          <w:b/>
          <w:sz w:val="24"/>
          <w:szCs w:val="24"/>
        </w:rPr>
        <w:t>2019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>за девять месяцев 2019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8842E1">
        <w:rPr>
          <w:rFonts w:ascii="Times New Roman" w:eastAsia="Times New Roman" w:hAnsi="Times New Roman" w:cs="Calibri"/>
          <w:sz w:val="24"/>
          <w:szCs w:val="24"/>
        </w:rPr>
        <w:t>07.11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842E1">
        <w:rPr>
          <w:rFonts w:ascii="Times New Roman" w:eastAsia="Times New Roman" w:hAnsi="Times New Roman" w:cs="Calibri"/>
          <w:sz w:val="24"/>
          <w:szCs w:val="24"/>
        </w:rPr>
        <w:t>13</w:t>
      </w:r>
      <w:r w:rsidR="00DC1112">
        <w:rPr>
          <w:rFonts w:ascii="Times New Roman" w:eastAsia="Times New Roman" w:hAnsi="Times New Roman" w:cs="Calibri"/>
          <w:sz w:val="24"/>
          <w:szCs w:val="24"/>
        </w:rPr>
        <w:t>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842E1">
        <w:rPr>
          <w:rFonts w:ascii="Times New Roman" w:hAnsi="Times New Roman" w:cs="Times New Roman"/>
          <w:sz w:val="24"/>
          <w:szCs w:val="24"/>
        </w:rPr>
        <w:t>девять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637" w:rsidRPr="00C6616A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700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3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11,9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</w:t>
            </w:r>
            <w:r w:rsidRPr="00C6616A">
              <w:rPr>
                <w:rFonts w:ascii="Times New Roman" w:hAnsi="Times New Roman" w:cs="Times New Roman"/>
              </w:rPr>
              <w:lastRenderedPageBreak/>
              <w:t>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821,3</w:t>
            </w:r>
          </w:p>
        </w:tc>
        <w:tc>
          <w:tcPr>
            <w:tcW w:w="1700" w:type="dxa"/>
          </w:tcPr>
          <w:p w:rsidR="00303637" w:rsidRPr="00C6616A" w:rsidRDefault="00DC1112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821,3</w:t>
            </w:r>
          </w:p>
        </w:tc>
        <w:tc>
          <w:tcPr>
            <w:tcW w:w="993" w:type="dxa"/>
          </w:tcPr>
          <w:p w:rsidR="00303637" w:rsidRPr="00C6616A" w:rsidRDefault="008842E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558" w:type="dxa"/>
          </w:tcPr>
          <w:p w:rsidR="00303637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303,3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821,3</w:t>
            </w:r>
          </w:p>
        </w:tc>
        <w:tc>
          <w:tcPr>
            <w:tcW w:w="1700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821,3</w:t>
            </w:r>
          </w:p>
        </w:tc>
        <w:tc>
          <w:tcPr>
            <w:tcW w:w="993" w:type="dxa"/>
          </w:tcPr>
          <w:p w:rsidR="00DC1112" w:rsidRPr="00C6616A" w:rsidRDefault="008842E1" w:rsidP="00C15F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558" w:type="dxa"/>
          </w:tcPr>
          <w:p w:rsidR="00DC1112" w:rsidRPr="00C6616A" w:rsidRDefault="008842E1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303,3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91BCC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E6693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700" w:type="dxa"/>
          </w:tcPr>
          <w:p w:rsidR="00891BCC" w:rsidRPr="00C6616A" w:rsidRDefault="00E6693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4211,6</w:t>
            </w:r>
          </w:p>
        </w:tc>
        <w:tc>
          <w:tcPr>
            <w:tcW w:w="993" w:type="dxa"/>
          </w:tcPr>
          <w:p w:rsidR="00891BCC" w:rsidRPr="00C6616A" w:rsidRDefault="00E6693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2396,0</w:t>
            </w:r>
          </w:p>
        </w:tc>
        <w:tc>
          <w:tcPr>
            <w:tcW w:w="1558" w:type="dxa"/>
          </w:tcPr>
          <w:p w:rsidR="00891BCC" w:rsidRPr="00C6616A" w:rsidRDefault="00E6693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1815,6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010C25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3534,8</w:t>
            </w:r>
          </w:p>
        </w:tc>
        <w:tc>
          <w:tcPr>
            <w:tcW w:w="1700" w:type="dxa"/>
          </w:tcPr>
          <w:p w:rsidR="00010C25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3534,8</w:t>
            </w:r>
          </w:p>
        </w:tc>
        <w:tc>
          <w:tcPr>
            <w:tcW w:w="993" w:type="dxa"/>
          </w:tcPr>
          <w:p w:rsidR="00010C25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2049,5</w:t>
            </w:r>
          </w:p>
        </w:tc>
        <w:tc>
          <w:tcPr>
            <w:tcW w:w="1558" w:type="dxa"/>
          </w:tcPr>
          <w:p w:rsidR="00010C25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1485,3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010C25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632,9</w:t>
            </w:r>
          </w:p>
        </w:tc>
        <w:tc>
          <w:tcPr>
            <w:tcW w:w="1700" w:type="dxa"/>
          </w:tcPr>
          <w:p w:rsidR="00010C25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632,9</w:t>
            </w:r>
          </w:p>
        </w:tc>
        <w:tc>
          <w:tcPr>
            <w:tcW w:w="993" w:type="dxa"/>
          </w:tcPr>
          <w:p w:rsidR="00010C25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339,4</w:t>
            </w:r>
          </w:p>
        </w:tc>
        <w:tc>
          <w:tcPr>
            <w:tcW w:w="1558" w:type="dxa"/>
          </w:tcPr>
          <w:p w:rsidR="00010C25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</w:t>
            </w:r>
            <w:r w:rsidR="00E6693D">
              <w:rPr>
                <w:rFonts w:ascii="Times New Roman" w:hAnsi="Times New Roman" w:cs="Times New Roman"/>
              </w:rPr>
              <w:t>8</w:t>
            </w:r>
            <w:r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Pr="00C6616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31.12.2019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</w:tcPr>
          <w:p w:rsidR="00891BCC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8" w:type="dxa"/>
          </w:tcPr>
          <w:p w:rsidR="00891BCC" w:rsidRPr="00C6616A" w:rsidRDefault="008842E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C6616A">
              <w:rPr>
                <w:rFonts w:ascii="Times New Roman" w:hAnsi="Times New Roman" w:cs="Times New Roman"/>
                <w:kern w:val="2"/>
                <w:lang w:eastAsia="zh-CN"/>
              </w:rPr>
              <w:t>4</w:t>
            </w:r>
            <w:r w:rsidRPr="00C6616A"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C6616A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C6616A">
              <w:rPr>
                <w:rFonts w:ascii="Times New Roman" w:hAnsi="Times New Roman" w:cs="Times New Roman"/>
              </w:rPr>
              <w:t>Пенсионное обеспечение</w:t>
            </w:r>
            <w:r w:rsidRPr="00C6616A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91BCC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700" w:type="dxa"/>
          </w:tcPr>
          <w:p w:rsidR="00891BCC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3" w:type="dxa"/>
          </w:tcPr>
          <w:p w:rsidR="00891BCC" w:rsidRPr="00C6616A" w:rsidRDefault="008842E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="00A6567B" w:rsidRPr="00C661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891BCC" w:rsidRPr="00C6616A" w:rsidRDefault="008842E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6567B" w:rsidRPr="00C6616A">
              <w:rPr>
                <w:rFonts w:ascii="Times New Roman" w:hAnsi="Times New Roman" w:cs="Times New Roman"/>
              </w:rPr>
              <w:t xml:space="preserve">,2 </w:t>
            </w:r>
            <w:r w:rsidR="00455056" w:rsidRPr="00C6616A">
              <w:rPr>
                <w:rFonts w:ascii="Times New Roman" w:hAnsi="Times New Roman" w:cs="Times New Roman"/>
              </w:rPr>
              <w:t>-</w:t>
            </w:r>
            <w:r w:rsidR="00A6567B" w:rsidRPr="00C6616A">
              <w:rPr>
                <w:rFonts w:ascii="Times New Roman" w:hAnsi="Times New Roman" w:cs="Times New Roman"/>
              </w:rPr>
              <w:t xml:space="preserve">Расходы будущих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периодов</w:t>
            </w:r>
          </w:p>
        </w:tc>
      </w:tr>
      <w:tr w:rsidR="00A6567B" w:rsidRPr="00C6616A" w:rsidTr="00DC2580">
        <w:trPr>
          <w:tblCellSpacing w:w="5" w:type="nil"/>
        </w:trPr>
        <w:tc>
          <w:tcPr>
            <w:tcW w:w="426" w:type="dxa"/>
          </w:tcPr>
          <w:p w:rsidR="00A6567B" w:rsidRPr="00C6616A" w:rsidRDefault="00A6567B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A6567B" w:rsidRPr="00C6616A" w:rsidRDefault="00A6567B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4.1.</w:t>
            </w:r>
          </w:p>
          <w:p w:rsidR="00A6567B" w:rsidRPr="00C6616A" w:rsidRDefault="00A6567B" w:rsidP="00891BCC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</w:rPr>
              <w:t>Выплата пенсии за выслугу лет</w:t>
            </w:r>
          </w:p>
        </w:tc>
        <w:tc>
          <w:tcPr>
            <w:tcW w:w="2268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  <w:tc>
          <w:tcPr>
            <w:tcW w:w="993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700" w:type="dxa"/>
          </w:tcPr>
          <w:p w:rsidR="00A6567B" w:rsidRPr="00C6616A" w:rsidRDefault="00A6567B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3" w:type="dxa"/>
          </w:tcPr>
          <w:p w:rsidR="00A6567B" w:rsidRPr="00C6616A" w:rsidRDefault="008842E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6567B" w:rsidRPr="00C661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A6567B" w:rsidRPr="00C6616A" w:rsidRDefault="008842E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6567B" w:rsidRPr="00C6616A">
              <w:rPr>
                <w:rFonts w:ascii="Times New Roman" w:hAnsi="Times New Roman" w:cs="Times New Roman"/>
              </w:rPr>
              <w:t xml:space="preserve">,2 </w:t>
            </w:r>
            <w:r w:rsidR="00455056" w:rsidRPr="00C6616A">
              <w:rPr>
                <w:rFonts w:ascii="Times New Roman" w:hAnsi="Times New Roman" w:cs="Times New Roman"/>
              </w:rPr>
              <w:t>-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Контрольное событие  муниципальной программы 4.1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  <w:lang w:eastAsia="zh-CN"/>
              </w:rPr>
              <w:t>П</w:t>
            </w:r>
            <w:r w:rsidRPr="00C6616A">
              <w:rPr>
                <w:rFonts w:ascii="Times New Roman" w:hAnsi="Times New Roman" w:cs="Times New Roman"/>
                <w:kern w:val="2"/>
              </w:rPr>
              <w:t>овышение уровня жизни граждан - получателей мер социальной поддержки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91BCC" w:rsidRPr="00C6616A" w:rsidRDefault="004550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5105,0</w:t>
            </w:r>
          </w:p>
        </w:tc>
        <w:tc>
          <w:tcPr>
            <w:tcW w:w="1700" w:type="dxa"/>
          </w:tcPr>
          <w:p w:rsidR="00891BCC" w:rsidRPr="00C6616A" w:rsidRDefault="004550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5105,0</w:t>
            </w:r>
          </w:p>
        </w:tc>
        <w:tc>
          <w:tcPr>
            <w:tcW w:w="993" w:type="dxa"/>
          </w:tcPr>
          <w:p w:rsidR="00891BCC" w:rsidRPr="00C6616A" w:rsidRDefault="00E6693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2962,0</w:t>
            </w:r>
          </w:p>
        </w:tc>
        <w:tc>
          <w:tcPr>
            <w:tcW w:w="1558" w:type="dxa"/>
          </w:tcPr>
          <w:p w:rsidR="00891BCC" w:rsidRPr="00C6616A" w:rsidRDefault="00E6693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2143,0</w:t>
            </w:r>
            <w:r w:rsidR="00455056" w:rsidRPr="00C6616A">
              <w:rPr>
                <w:rFonts w:ascii="Times New Roman" w:hAnsi="Times New Roman" w:cs="Times New Roman"/>
              </w:rPr>
              <w:t>-Расходы будущих периодов</w:t>
            </w:r>
          </w:p>
        </w:tc>
      </w:tr>
      <w:tr w:rsidR="00C6616A" w:rsidRPr="00C6616A" w:rsidTr="00DC2580">
        <w:trPr>
          <w:tblCellSpacing w:w="5" w:type="nil"/>
        </w:trPr>
        <w:tc>
          <w:tcPr>
            <w:tcW w:w="426" w:type="dxa"/>
            <w:vMerge/>
          </w:tcPr>
          <w:p w:rsidR="00C6616A" w:rsidRPr="00C6616A" w:rsidRDefault="00C6616A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6616A" w:rsidRPr="00C6616A" w:rsidRDefault="00C6616A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16A" w:rsidRPr="00C6616A" w:rsidRDefault="00C6616A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C6616A" w:rsidRPr="00C6616A" w:rsidRDefault="00C6616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C6616A" w:rsidRPr="00C6616A" w:rsidRDefault="00C6616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C6616A" w:rsidRPr="00C6616A" w:rsidRDefault="00C6616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C6616A" w:rsidRPr="00C6616A" w:rsidRDefault="00C6616A" w:rsidP="00437391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5105,0</w:t>
            </w:r>
          </w:p>
        </w:tc>
        <w:tc>
          <w:tcPr>
            <w:tcW w:w="1700" w:type="dxa"/>
          </w:tcPr>
          <w:p w:rsidR="00C6616A" w:rsidRPr="00C6616A" w:rsidRDefault="00C6616A" w:rsidP="00437391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5105,0</w:t>
            </w:r>
          </w:p>
        </w:tc>
        <w:tc>
          <w:tcPr>
            <w:tcW w:w="993" w:type="dxa"/>
          </w:tcPr>
          <w:p w:rsidR="00C6616A" w:rsidRPr="00C6616A" w:rsidRDefault="00E6693D" w:rsidP="004373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2962,0</w:t>
            </w:r>
          </w:p>
        </w:tc>
        <w:tc>
          <w:tcPr>
            <w:tcW w:w="1558" w:type="dxa"/>
          </w:tcPr>
          <w:p w:rsidR="00C6616A" w:rsidRPr="00C6616A" w:rsidRDefault="00E6693D" w:rsidP="004373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2143,0</w:t>
            </w:r>
            <w:r w:rsidR="00C6616A" w:rsidRPr="00C6616A">
              <w:rPr>
                <w:rFonts w:ascii="Times New Roman" w:hAnsi="Times New Roman" w:cs="Times New Roman"/>
              </w:rPr>
              <w:t>-Расходы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E6693D">
        <w:rPr>
          <w:rFonts w:ascii="Times New Roman" w:hAnsi="Times New Roman"/>
          <w:sz w:val="32"/>
          <w:szCs w:val="32"/>
        </w:rPr>
        <w:t>девяти месяцев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5105,0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E6693D"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составило </w:t>
      </w:r>
      <w:r w:rsidR="00E6693D">
        <w:rPr>
          <w:rFonts w:ascii="Times New Roman" w:eastAsia="Times New Roman" w:hAnsi="Times New Roman"/>
          <w:sz w:val="28"/>
          <w:szCs w:val="28"/>
          <w:lang w:eastAsia="ru-RU"/>
        </w:rPr>
        <w:t>2143,0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E6693D">
        <w:rPr>
          <w:rFonts w:ascii="Times New Roman" w:eastAsia="Times New Roman" w:hAnsi="Times New Roman"/>
          <w:sz w:val="28"/>
          <w:szCs w:val="28"/>
          <w:lang w:eastAsia="ru-RU"/>
        </w:rPr>
        <w:t>42,0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31.12.2019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62349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72541F">
        <w:rPr>
          <w:rFonts w:ascii="Times New Roman" w:hAnsi="Times New Roman"/>
          <w:sz w:val="28"/>
          <w:szCs w:val="28"/>
        </w:rPr>
        <w:t>11,9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2541F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72541F" w:rsidRPr="008747DA">
        <w:rPr>
          <w:rFonts w:ascii="Times New Roman" w:hAnsi="Times New Roman"/>
          <w:sz w:val="28"/>
          <w:szCs w:val="28"/>
        </w:rPr>
        <w:t>821,3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6693D">
        <w:rPr>
          <w:rFonts w:ascii="Times New Roman" w:hAnsi="Times New Roman"/>
          <w:sz w:val="28"/>
          <w:szCs w:val="28"/>
        </w:rPr>
        <w:t>518,0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E6693D">
        <w:rPr>
          <w:rFonts w:ascii="Times New Roman" w:hAnsi="Times New Roman"/>
          <w:sz w:val="28"/>
          <w:szCs w:val="28"/>
        </w:rPr>
        <w:t>63,1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на 2019 год составляет 4211,6 тыс. рублей, фактическое освоение составляет </w:t>
      </w:r>
      <w:r w:rsidR="001330F4">
        <w:rPr>
          <w:rFonts w:ascii="Times New Roman" w:hAnsi="Times New Roman"/>
          <w:sz w:val="28"/>
          <w:szCs w:val="28"/>
        </w:rPr>
        <w:t>2396,0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1330F4">
        <w:rPr>
          <w:rFonts w:ascii="Times New Roman" w:hAnsi="Times New Roman"/>
          <w:sz w:val="28"/>
          <w:szCs w:val="28"/>
        </w:rPr>
        <w:t>56,9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sz w:val="28"/>
          <w:szCs w:val="28"/>
        </w:rPr>
        <w:t xml:space="preserve">Пенсионное обеспечение» на 2019 год составляет 60,2 тыс. рублей, фактическое освоение составляет </w:t>
      </w:r>
      <w:r w:rsidR="001330F4">
        <w:rPr>
          <w:rFonts w:ascii="Times New Roman" w:hAnsi="Times New Roman"/>
          <w:sz w:val="28"/>
          <w:szCs w:val="28"/>
        </w:rPr>
        <w:t>48,0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1330F4">
        <w:rPr>
          <w:rFonts w:ascii="Times New Roman" w:hAnsi="Times New Roman"/>
          <w:sz w:val="28"/>
          <w:szCs w:val="28"/>
        </w:rPr>
        <w:t>79,7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lastRenderedPageBreak/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72541F" w:rsidRPr="008747DA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8747DA" w:rsidRPr="008747DA">
        <w:rPr>
          <w:rFonts w:ascii="Times New Roman" w:hAnsi="Times New Roman"/>
          <w:kern w:val="2"/>
          <w:sz w:val="28"/>
          <w:szCs w:val="28"/>
          <w:lang w:eastAsia="zh-CN"/>
        </w:rPr>
        <w:t>П</w:t>
      </w:r>
      <w:r w:rsidR="008747DA" w:rsidRPr="008747DA">
        <w:rPr>
          <w:rFonts w:ascii="Times New Roman" w:hAnsi="Times New Roman"/>
          <w:kern w:val="2"/>
          <w:sz w:val="28"/>
          <w:szCs w:val="28"/>
        </w:rPr>
        <w:t>овышение уровня жизни граждан - получателей мер социальной поддержки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8747DA" w:rsidRPr="008747DA">
        <w:rPr>
          <w:rFonts w:ascii="Times New Roman" w:hAnsi="Times New Roman"/>
          <w:sz w:val="28"/>
          <w:szCs w:val="28"/>
        </w:rPr>
        <w:t>Пенсионное обеспечение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E2" w:rsidRDefault="000773E2" w:rsidP="008A1698">
      <w:pPr>
        <w:spacing w:after="0" w:line="240" w:lineRule="auto"/>
      </w:pPr>
      <w:r>
        <w:separator/>
      </w:r>
    </w:p>
  </w:endnote>
  <w:endnote w:type="continuationSeparator" w:id="0">
    <w:p w:rsidR="000773E2" w:rsidRDefault="000773E2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0773E2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E2" w:rsidRDefault="000773E2" w:rsidP="008A1698">
      <w:pPr>
        <w:spacing w:after="0" w:line="240" w:lineRule="auto"/>
      </w:pPr>
      <w:r>
        <w:separator/>
      </w:r>
    </w:p>
  </w:footnote>
  <w:footnote w:type="continuationSeparator" w:id="0">
    <w:p w:rsidR="000773E2" w:rsidRDefault="000773E2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773E2"/>
    <w:rsid w:val="000C4E1D"/>
    <w:rsid w:val="000D4793"/>
    <w:rsid w:val="000E343C"/>
    <w:rsid w:val="001330F4"/>
    <w:rsid w:val="001A3A31"/>
    <w:rsid w:val="001E1AEF"/>
    <w:rsid w:val="001E4B42"/>
    <w:rsid w:val="001F6B0C"/>
    <w:rsid w:val="0029768B"/>
    <w:rsid w:val="002D6C41"/>
    <w:rsid w:val="00303637"/>
    <w:rsid w:val="0034373F"/>
    <w:rsid w:val="003B3DB0"/>
    <w:rsid w:val="00450722"/>
    <w:rsid w:val="00455056"/>
    <w:rsid w:val="00486096"/>
    <w:rsid w:val="004D3D38"/>
    <w:rsid w:val="00575F4F"/>
    <w:rsid w:val="0060552E"/>
    <w:rsid w:val="006634EB"/>
    <w:rsid w:val="0072541F"/>
    <w:rsid w:val="0075264D"/>
    <w:rsid w:val="0075544E"/>
    <w:rsid w:val="007F3096"/>
    <w:rsid w:val="008747DA"/>
    <w:rsid w:val="00883B1C"/>
    <w:rsid w:val="008842E1"/>
    <w:rsid w:val="00891BCC"/>
    <w:rsid w:val="008939C6"/>
    <w:rsid w:val="008A1698"/>
    <w:rsid w:val="008D750D"/>
    <w:rsid w:val="00A2553A"/>
    <w:rsid w:val="00A347C2"/>
    <w:rsid w:val="00A6567B"/>
    <w:rsid w:val="00A837AA"/>
    <w:rsid w:val="00AA70CD"/>
    <w:rsid w:val="00AB1909"/>
    <w:rsid w:val="00C6616A"/>
    <w:rsid w:val="00CA70E8"/>
    <w:rsid w:val="00CB47F1"/>
    <w:rsid w:val="00D203FE"/>
    <w:rsid w:val="00D418C1"/>
    <w:rsid w:val="00D549F5"/>
    <w:rsid w:val="00D92DB4"/>
    <w:rsid w:val="00DB2A70"/>
    <w:rsid w:val="00DC1112"/>
    <w:rsid w:val="00DF7143"/>
    <w:rsid w:val="00E6693D"/>
    <w:rsid w:val="00E9781C"/>
    <w:rsid w:val="00EB03CE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6048-DD47-4832-A3A5-B6C37A89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2019-09-04T12:39:00Z</cp:lastPrinted>
  <dcterms:created xsi:type="dcterms:W3CDTF">2019-12-10T11:23:00Z</dcterms:created>
  <dcterms:modified xsi:type="dcterms:W3CDTF">2019-12-10T11:23:00Z</dcterms:modified>
</cp:coreProperties>
</file>