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E41C9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7C24DF">
        <w:rPr>
          <w:rFonts w:ascii="Times New Roman" w:hAnsi="Times New Roman"/>
          <w:b/>
          <w:sz w:val="28"/>
          <w:szCs w:val="28"/>
        </w:rPr>
        <w:t>.2019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12</w:t>
      </w:r>
      <w:r w:rsidR="009C62F1">
        <w:rPr>
          <w:rFonts w:ascii="Times New Roman" w:hAnsi="Times New Roman"/>
          <w:b/>
          <w:sz w:val="28"/>
          <w:szCs w:val="28"/>
        </w:rPr>
        <w:t>7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 энергетики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E41C9F">
        <w:rPr>
          <w:rFonts w:ascii="Times New Roman" w:hAnsi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/>
          <w:b/>
          <w:sz w:val="28"/>
          <w:szCs w:val="28"/>
        </w:rPr>
        <w:t xml:space="preserve">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</w:t>
      </w:r>
      <w:r w:rsidR="00E41C9F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>п</w:t>
      </w:r>
      <w:r w:rsidR="00E41C9F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 2 ст. 31 Устава муниципального образования «Роговское сельское поселение»,</w:t>
      </w:r>
    </w:p>
    <w:p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E41C9F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 w:rsidR="00E41C9F">
        <w:rPr>
          <w:rFonts w:ascii="Times New Roman" w:eastAsia="Times New Roman" w:hAnsi="Times New Roman" w:cs="Calibri"/>
          <w:sz w:val="24"/>
          <w:szCs w:val="24"/>
        </w:rPr>
        <w:t>.11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E41C9F">
        <w:rPr>
          <w:rFonts w:ascii="Times New Roman" w:eastAsia="Times New Roman" w:hAnsi="Times New Roman" w:cs="Calibri"/>
          <w:sz w:val="24"/>
          <w:szCs w:val="24"/>
        </w:rPr>
        <w:t>12</w:t>
      </w:r>
      <w:r w:rsidR="009C62F1">
        <w:rPr>
          <w:rFonts w:ascii="Times New Roman" w:eastAsia="Times New Roman" w:hAnsi="Times New Roman" w:cs="Calibri"/>
          <w:sz w:val="24"/>
          <w:szCs w:val="24"/>
        </w:rPr>
        <w:t>7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41C9F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:rsidR="00F8058B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9C62F1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80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7C24DF" w:rsidRPr="00913394" w:rsidRDefault="007C24DF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80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7C24DF" w:rsidRPr="00913394" w:rsidRDefault="007C24DF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80B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F8058B" w:rsidRPr="00913394" w:rsidRDefault="00F8058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E80B17" w:rsidRPr="009C62F1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Default="00E80B1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E80B1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E80B17" w:rsidRPr="00E80B1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0B17" w:rsidRDefault="00E80B1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Default="00E80B1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824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F64B8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E80B17" w:rsidRPr="00913394" w:rsidRDefault="00E80B17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  <w:vMerge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E80B17" w:rsidRPr="00913394" w:rsidRDefault="00E80B17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E80B17" w:rsidRPr="00913394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E41C9F">
        <w:rPr>
          <w:rFonts w:ascii="Times New Roman" w:hAnsi="Times New Roman"/>
          <w:sz w:val="32"/>
          <w:szCs w:val="32"/>
        </w:rPr>
        <w:t>9 месяцев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65,0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первое полугодие 2019 года составило 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E80B17">
        <w:rPr>
          <w:rFonts w:ascii="Times New Roman" w:hAnsi="Times New Roman"/>
          <w:sz w:val="28"/>
          <w:szCs w:val="28"/>
        </w:rPr>
        <w:t>65,0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824F41">
        <w:rPr>
          <w:rFonts w:ascii="Times New Roman" w:hAnsi="Times New Roman"/>
          <w:sz w:val="28"/>
          <w:szCs w:val="28"/>
        </w:rPr>
        <w:t>подлежит осуществлению с 2022 года.</w:t>
      </w:r>
    </w:p>
    <w:p w:rsidR="003B3DB0" w:rsidRPr="005753E6" w:rsidRDefault="0016662D" w:rsidP="0016662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42" w:rsidRDefault="00BE7942" w:rsidP="008A1698">
      <w:pPr>
        <w:spacing w:after="0" w:line="240" w:lineRule="auto"/>
      </w:pPr>
      <w:r>
        <w:separator/>
      </w:r>
    </w:p>
  </w:endnote>
  <w:endnote w:type="continuationSeparator" w:id="1">
    <w:p w:rsidR="00BE7942" w:rsidRDefault="00BE7942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BE7942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42" w:rsidRDefault="00BE7942" w:rsidP="008A1698">
      <w:pPr>
        <w:spacing w:after="0" w:line="240" w:lineRule="auto"/>
      </w:pPr>
      <w:r>
        <w:separator/>
      </w:r>
    </w:p>
  </w:footnote>
  <w:footnote w:type="continuationSeparator" w:id="1">
    <w:p w:rsidR="00BE7942" w:rsidRDefault="00BE7942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05636"/>
    <w:rsid w:val="000248F8"/>
    <w:rsid w:val="000C4E1D"/>
    <w:rsid w:val="000E343C"/>
    <w:rsid w:val="00163B73"/>
    <w:rsid w:val="0016662D"/>
    <w:rsid w:val="001E1AEF"/>
    <w:rsid w:val="0029768B"/>
    <w:rsid w:val="00303637"/>
    <w:rsid w:val="0034373F"/>
    <w:rsid w:val="003B3DB0"/>
    <w:rsid w:val="003C0458"/>
    <w:rsid w:val="00441325"/>
    <w:rsid w:val="004560DB"/>
    <w:rsid w:val="00456BAD"/>
    <w:rsid w:val="004D5089"/>
    <w:rsid w:val="005753E6"/>
    <w:rsid w:val="005A7920"/>
    <w:rsid w:val="0060552E"/>
    <w:rsid w:val="006A2429"/>
    <w:rsid w:val="006F57C6"/>
    <w:rsid w:val="0075264D"/>
    <w:rsid w:val="0075544E"/>
    <w:rsid w:val="007602D2"/>
    <w:rsid w:val="0078737E"/>
    <w:rsid w:val="007C24DF"/>
    <w:rsid w:val="007F3096"/>
    <w:rsid w:val="00824F41"/>
    <w:rsid w:val="00883B1C"/>
    <w:rsid w:val="008A1698"/>
    <w:rsid w:val="008D750D"/>
    <w:rsid w:val="00913394"/>
    <w:rsid w:val="009C62F1"/>
    <w:rsid w:val="00A347C2"/>
    <w:rsid w:val="00A767D1"/>
    <w:rsid w:val="00B9263A"/>
    <w:rsid w:val="00BA6862"/>
    <w:rsid w:val="00BE7942"/>
    <w:rsid w:val="00D203FE"/>
    <w:rsid w:val="00D549F5"/>
    <w:rsid w:val="00DA1C00"/>
    <w:rsid w:val="00DB2A70"/>
    <w:rsid w:val="00DD1E0E"/>
    <w:rsid w:val="00E15BB8"/>
    <w:rsid w:val="00E41C9F"/>
    <w:rsid w:val="00E80B17"/>
    <w:rsid w:val="00EB03CE"/>
    <w:rsid w:val="00F2786E"/>
    <w:rsid w:val="00F50047"/>
    <w:rsid w:val="00F64B8D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1B9B-5C55-4E01-BAA5-A32B52E7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2019-08-08T04:45:00Z</cp:lastPrinted>
  <dcterms:created xsi:type="dcterms:W3CDTF">2019-08-07T06:38:00Z</dcterms:created>
  <dcterms:modified xsi:type="dcterms:W3CDTF">2019-11-06T20:56:00Z</dcterms:modified>
</cp:coreProperties>
</file>