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3B3DB0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>06  августа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</w:t>
      </w:r>
      <w:r w:rsidR="00A57D1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>102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«Развитие культуры» за первое полугодие 2019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>
        <w:rPr>
          <w:rFonts w:ascii="Times New Roman" w:eastAsia="Times New Roman" w:hAnsi="Times New Roman" w:cs="Calibri"/>
          <w:sz w:val="24"/>
          <w:szCs w:val="24"/>
        </w:rPr>
        <w:t>10</w:t>
      </w:r>
      <w:r w:rsidR="003B3DB0">
        <w:rPr>
          <w:rFonts w:ascii="Times New Roman" w:eastAsia="Times New Roman" w:hAnsi="Times New Roman" w:cs="Calibri"/>
          <w:sz w:val="24"/>
          <w:szCs w:val="24"/>
        </w:rPr>
        <w:t>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Повышение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24,2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24,2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 xml:space="preserve">обеспечение достижения целей, решение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задач и выполнение целевых 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4922,3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4922,3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2085,5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2836,8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jc w:val="center"/>
              <w:rPr>
                <w:rFonts w:ascii="Times New Roman" w:hAnsi="Times New Roman"/>
              </w:rPr>
            </w:pPr>
            <w:r w:rsidRPr="00303637">
              <w:rPr>
                <w:rFonts w:ascii="Times New Roman" w:hAnsi="Times New Roman"/>
                <w:kern w:val="2"/>
              </w:rPr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4922,3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4922,3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2085,5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2836,8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4952,3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4952,3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2091,3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2861,0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4952,3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4952,3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2091,3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2861,0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4952,3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4952,3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2091,3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2861,0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«Развитие культуры» на 2019 год запланированы средства в сумме  4952,3 тыс. рублей. Фактическое исполнение за первое полугодие 2019 года составило 2091,3 тыс. рублей, что составляет 42,2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31.12.2019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на 2019 год составляет 30,0 тыс. рублей, фактическое освоение составляет 5,8 тыс. рублей или 19,3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62349B">
        <w:rPr>
          <w:rFonts w:ascii="Times New Roman" w:hAnsi="Times New Roman"/>
          <w:sz w:val="28"/>
          <w:szCs w:val="28"/>
        </w:rPr>
        <w:t xml:space="preserve">» на 2019 год составляет </w:t>
      </w:r>
      <w:r>
        <w:rPr>
          <w:rFonts w:ascii="Times New Roman" w:hAnsi="Times New Roman"/>
          <w:sz w:val="28"/>
          <w:szCs w:val="28"/>
        </w:rPr>
        <w:t>4922,3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2085,5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42,4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1A" w:rsidRDefault="0055301A" w:rsidP="008A1698">
      <w:pPr>
        <w:spacing w:after="0" w:line="240" w:lineRule="auto"/>
      </w:pPr>
      <w:r>
        <w:separator/>
      </w:r>
    </w:p>
  </w:endnote>
  <w:endnote w:type="continuationSeparator" w:id="0">
    <w:p w:rsidR="0055301A" w:rsidRDefault="0055301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55301A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1A" w:rsidRDefault="0055301A" w:rsidP="008A1698">
      <w:pPr>
        <w:spacing w:after="0" w:line="240" w:lineRule="auto"/>
      </w:pPr>
      <w:r>
        <w:separator/>
      </w:r>
    </w:p>
  </w:footnote>
  <w:footnote w:type="continuationSeparator" w:id="0">
    <w:p w:rsidR="0055301A" w:rsidRDefault="0055301A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248F8"/>
    <w:rsid w:val="000C4E1D"/>
    <w:rsid w:val="000E343C"/>
    <w:rsid w:val="001573CD"/>
    <w:rsid w:val="001E1AEF"/>
    <w:rsid w:val="0029768B"/>
    <w:rsid w:val="00303637"/>
    <w:rsid w:val="0034373F"/>
    <w:rsid w:val="003B3DB0"/>
    <w:rsid w:val="00425934"/>
    <w:rsid w:val="0055301A"/>
    <w:rsid w:val="0060552E"/>
    <w:rsid w:val="00723BC5"/>
    <w:rsid w:val="0075264D"/>
    <w:rsid w:val="0075544E"/>
    <w:rsid w:val="007F3096"/>
    <w:rsid w:val="00883B1C"/>
    <w:rsid w:val="008A1698"/>
    <w:rsid w:val="008D750D"/>
    <w:rsid w:val="00916F71"/>
    <w:rsid w:val="00A347C2"/>
    <w:rsid w:val="00A57D18"/>
    <w:rsid w:val="00D203FE"/>
    <w:rsid w:val="00D549F5"/>
    <w:rsid w:val="00DB2A70"/>
    <w:rsid w:val="00EB03CE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2019-09-04T12:38:00Z</cp:lastPrinted>
  <dcterms:created xsi:type="dcterms:W3CDTF">2019-08-07T06:38:00Z</dcterms:created>
  <dcterms:modified xsi:type="dcterms:W3CDTF">2019-09-04T12:39:00Z</dcterms:modified>
</cp:coreProperties>
</file>